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rPr>
          <w:color w:val="auto"/>
          <w:sz w:val="24"/>
        </w:rPr>
      </w:pPr>
    </w:p>
    <w:p>
      <w:pPr>
        <w:adjustRightInd w:val="0"/>
        <w:snapToGrid w:val="0"/>
        <w:spacing w:line="360" w:lineRule="auto"/>
        <w:ind w:firstLine="280"/>
        <w:rPr>
          <w:color w:val="auto"/>
          <w:sz w:val="24"/>
        </w:rPr>
      </w:pPr>
    </w:p>
    <w:p>
      <w:pPr>
        <w:adjustRightInd w:val="0"/>
        <w:snapToGrid w:val="0"/>
        <w:spacing w:line="360" w:lineRule="auto"/>
        <w:ind w:firstLine="280"/>
        <w:rPr>
          <w:color w:val="auto"/>
          <w:sz w:val="24"/>
        </w:rPr>
      </w:pPr>
    </w:p>
    <w:p>
      <w:pPr>
        <w:adjustRightInd w:val="0"/>
        <w:snapToGrid w:val="0"/>
        <w:spacing w:line="360" w:lineRule="auto"/>
        <w:ind w:firstLine="280"/>
        <w:rPr>
          <w:color w:val="auto"/>
          <w:sz w:val="24"/>
        </w:rPr>
      </w:pPr>
    </w:p>
    <w:p>
      <w:pPr>
        <w:jc w:val="center"/>
        <w:rPr>
          <w:b/>
          <w:color w:val="auto"/>
          <w:sz w:val="72"/>
          <w:szCs w:val="72"/>
        </w:rPr>
      </w:pPr>
      <w:r>
        <w:rPr>
          <w:bCs/>
          <w:color w:val="auto"/>
          <w:sz w:val="72"/>
          <w:szCs w:val="72"/>
        </w:rPr>
        <w:t>建设项目环境影响报告表</w:t>
      </w:r>
    </w:p>
    <w:p>
      <w:pPr>
        <w:ind w:firstLine="357"/>
        <w:jc w:val="center"/>
        <w:rPr>
          <w:color w:val="auto"/>
          <w:sz w:val="36"/>
        </w:rPr>
      </w:pPr>
      <w:r>
        <w:rPr>
          <w:color w:val="auto"/>
          <w:sz w:val="36"/>
        </w:rPr>
        <w:t>（报批稿）</w:t>
      </w:r>
    </w:p>
    <w:p>
      <w:pPr>
        <w:ind w:firstLine="357"/>
        <w:jc w:val="center"/>
        <w:rPr>
          <w:color w:val="auto"/>
          <w:sz w:val="36"/>
        </w:rPr>
      </w:pPr>
    </w:p>
    <w:p>
      <w:pPr>
        <w:ind w:firstLine="357"/>
        <w:jc w:val="center"/>
        <w:rPr>
          <w:color w:val="auto"/>
          <w:sz w:val="36"/>
        </w:rPr>
      </w:pPr>
    </w:p>
    <w:p>
      <w:pPr>
        <w:ind w:firstLine="357"/>
        <w:jc w:val="center"/>
        <w:rPr>
          <w:color w:val="auto"/>
          <w:sz w:val="36"/>
        </w:rPr>
      </w:pPr>
    </w:p>
    <w:p>
      <w:pPr>
        <w:ind w:firstLine="357"/>
        <w:jc w:val="center"/>
        <w:rPr>
          <w:color w:val="auto"/>
          <w:sz w:val="36"/>
        </w:rPr>
      </w:pPr>
    </w:p>
    <w:tbl>
      <w:tblPr>
        <w:tblStyle w:val="86"/>
        <w:tblW w:w="8289" w:type="dxa"/>
        <w:jc w:val="center"/>
        <w:tblLayout w:type="fixed"/>
        <w:tblCellMar>
          <w:top w:w="0" w:type="dxa"/>
          <w:left w:w="108" w:type="dxa"/>
          <w:bottom w:w="0" w:type="dxa"/>
          <w:right w:w="108" w:type="dxa"/>
        </w:tblCellMar>
      </w:tblPr>
      <w:tblGrid>
        <w:gridCol w:w="1950"/>
        <w:gridCol w:w="6339"/>
      </w:tblGrid>
      <w:tr>
        <w:trPr>
          <w:jc w:val="center"/>
        </w:trPr>
        <w:tc>
          <w:tcPr>
            <w:tcW w:w="1950" w:type="dxa"/>
          </w:tcPr>
          <w:p>
            <w:pPr>
              <w:spacing w:line="480" w:lineRule="auto"/>
              <w:rPr>
                <w:b/>
                <w:color w:val="auto"/>
                <w:sz w:val="32"/>
                <w:szCs w:val="32"/>
              </w:rPr>
            </w:pPr>
            <w:r>
              <w:rPr>
                <w:rFonts w:hint="eastAsia"/>
                <w:b/>
                <w:color w:val="auto"/>
                <w:sz w:val="32"/>
                <w:szCs w:val="32"/>
              </w:rPr>
              <w:t>项目名称：</w:t>
            </w:r>
          </w:p>
        </w:tc>
        <w:tc>
          <w:tcPr>
            <w:tcW w:w="6339" w:type="dxa"/>
            <w:vAlign w:val="center"/>
          </w:tcPr>
          <w:p>
            <w:pPr>
              <w:spacing w:line="480" w:lineRule="auto"/>
              <w:jc w:val="distribute"/>
              <w:rPr>
                <w:color w:val="auto"/>
                <w:sz w:val="30"/>
                <w:szCs w:val="30"/>
                <w:u w:val="single"/>
              </w:rPr>
            </w:pPr>
            <w:r>
              <w:rPr>
                <w:rFonts w:hint="eastAsia"/>
                <w:color w:val="auto"/>
                <w:sz w:val="30"/>
                <w:szCs w:val="30"/>
                <w:u w:val="single"/>
              </w:rPr>
              <w:t>儒林</w:t>
            </w:r>
            <w:r>
              <w:rPr>
                <w:color w:val="auto"/>
                <w:sz w:val="30"/>
                <w:szCs w:val="30"/>
                <w:u w:val="single"/>
              </w:rPr>
              <w:t>100MW/200MWh</w:t>
            </w:r>
            <w:r>
              <w:rPr>
                <w:rFonts w:hint="eastAsia"/>
                <w:color w:val="auto"/>
                <w:sz w:val="30"/>
                <w:szCs w:val="30"/>
                <w:u w:val="single"/>
              </w:rPr>
              <w:t>储能电站项目</w:t>
            </w:r>
          </w:p>
        </w:tc>
      </w:tr>
      <w:tr>
        <w:tblPrEx>
          <w:tblCellMar>
            <w:top w:w="0" w:type="dxa"/>
            <w:left w:w="108" w:type="dxa"/>
            <w:bottom w:w="0" w:type="dxa"/>
            <w:right w:w="108" w:type="dxa"/>
          </w:tblCellMar>
        </w:tblPrEx>
        <w:trPr>
          <w:jc w:val="center"/>
        </w:trPr>
        <w:tc>
          <w:tcPr>
            <w:tcW w:w="1950" w:type="dxa"/>
          </w:tcPr>
          <w:p>
            <w:pPr>
              <w:spacing w:line="480" w:lineRule="auto"/>
              <w:rPr>
                <w:b/>
                <w:color w:val="auto"/>
                <w:sz w:val="32"/>
                <w:szCs w:val="32"/>
              </w:rPr>
            </w:pPr>
            <w:r>
              <w:rPr>
                <w:rFonts w:hint="eastAsia"/>
                <w:b/>
                <w:color w:val="auto"/>
                <w:sz w:val="32"/>
                <w:szCs w:val="32"/>
              </w:rPr>
              <w:t>建设单位：</w:t>
            </w:r>
          </w:p>
        </w:tc>
        <w:tc>
          <w:tcPr>
            <w:tcW w:w="6339" w:type="dxa"/>
            <w:vAlign w:val="center"/>
          </w:tcPr>
          <w:p>
            <w:pPr>
              <w:spacing w:line="480" w:lineRule="auto"/>
              <w:jc w:val="distribute"/>
              <w:rPr>
                <w:color w:val="auto"/>
                <w:sz w:val="30"/>
                <w:szCs w:val="30"/>
                <w:u w:val="single"/>
              </w:rPr>
            </w:pPr>
            <w:r>
              <w:rPr>
                <w:rFonts w:hint="eastAsia"/>
                <w:color w:val="auto"/>
                <w:sz w:val="30"/>
                <w:szCs w:val="30"/>
                <w:u w:val="single"/>
              </w:rPr>
              <w:t>城步善能新能源有限责任公司</w:t>
            </w:r>
          </w:p>
        </w:tc>
      </w:tr>
    </w:tbl>
    <w:p>
      <w:pPr>
        <w:adjustRightInd w:val="0"/>
        <w:snapToGrid w:val="0"/>
        <w:spacing w:line="360" w:lineRule="auto"/>
        <w:ind w:firstLine="280"/>
        <w:rPr>
          <w:color w:val="auto"/>
          <w:sz w:val="24"/>
        </w:rPr>
      </w:pPr>
    </w:p>
    <w:p>
      <w:pPr>
        <w:adjustRightInd w:val="0"/>
        <w:snapToGrid w:val="0"/>
        <w:spacing w:line="360" w:lineRule="auto"/>
        <w:ind w:firstLine="280"/>
        <w:rPr>
          <w:color w:val="auto"/>
          <w:sz w:val="24"/>
        </w:rPr>
      </w:pPr>
    </w:p>
    <w:p>
      <w:pPr>
        <w:adjustRightInd w:val="0"/>
        <w:snapToGrid w:val="0"/>
        <w:spacing w:line="360" w:lineRule="auto"/>
        <w:ind w:firstLine="280"/>
        <w:rPr>
          <w:color w:val="auto"/>
          <w:sz w:val="24"/>
        </w:rPr>
      </w:pPr>
    </w:p>
    <w:p>
      <w:pPr>
        <w:adjustRightInd w:val="0"/>
        <w:snapToGrid w:val="0"/>
        <w:spacing w:line="360" w:lineRule="auto"/>
        <w:ind w:firstLine="280"/>
        <w:rPr>
          <w:color w:val="auto"/>
          <w:sz w:val="24"/>
        </w:rPr>
      </w:pPr>
    </w:p>
    <w:p>
      <w:pPr>
        <w:adjustRightInd w:val="0"/>
        <w:snapToGrid w:val="0"/>
        <w:spacing w:line="360" w:lineRule="auto"/>
        <w:ind w:firstLine="280"/>
        <w:rPr>
          <w:color w:val="auto"/>
          <w:sz w:val="24"/>
        </w:rPr>
      </w:pPr>
    </w:p>
    <w:p>
      <w:pPr>
        <w:adjustRightInd w:val="0"/>
        <w:snapToGrid w:val="0"/>
        <w:spacing w:line="360" w:lineRule="auto"/>
        <w:ind w:firstLine="280"/>
        <w:rPr>
          <w:color w:val="auto"/>
          <w:sz w:val="24"/>
        </w:rPr>
      </w:pPr>
    </w:p>
    <w:p>
      <w:pPr>
        <w:adjustRightInd w:val="0"/>
        <w:snapToGrid w:val="0"/>
        <w:spacing w:line="360" w:lineRule="auto"/>
        <w:ind w:firstLine="280"/>
        <w:rPr>
          <w:color w:val="auto"/>
          <w:sz w:val="24"/>
        </w:rPr>
      </w:pPr>
    </w:p>
    <w:p>
      <w:pPr>
        <w:adjustRightInd w:val="0"/>
        <w:snapToGrid w:val="0"/>
        <w:spacing w:line="360" w:lineRule="auto"/>
        <w:ind w:firstLine="280"/>
        <w:rPr>
          <w:color w:val="auto"/>
          <w:sz w:val="24"/>
        </w:rPr>
      </w:pPr>
    </w:p>
    <w:p>
      <w:pPr>
        <w:jc w:val="center"/>
        <w:rPr>
          <w:color w:val="auto"/>
          <w:sz w:val="32"/>
        </w:rPr>
      </w:pPr>
    </w:p>
    <w:p>
      <w:pPr>
        <w:spacing w:line="400" w:lineRule="exact"/>
        <w:jc w:val="center"/>
        <w:rPr>
          <w:color w:val="auto"/>
          <w:sz w:val="24"/>
          <w:szCs w:val="24"/>
        </w:rPr>
      </w:pPr>
    </w:p>
    <w:p>
      <w:pPr>
        <w:spacing w:line="400" w:lineRule="exact"/>
        <w:jc w:val="center"/>
        <w:rPr>
          <w:color w:val="auto"/>
          <w:sz w:val="28"/>
          <w:szCs w:val="28"/>
        </w:rPr>
      </w:pPr>
      <w:r>
        <w:rPr>
          <w:color w:val="auto"/>
          <w:sz w:val="28"/>
          <w:szCs w:val="28"/>
        </w:rPr>
        <w:t xml:space="preserve"> 202</w:t>
      </w:r>
      <w:r>
        <w:rPr>
          <w:rFonts w:hint="default"/>
          <w:color w:val="auto"/>
          <w:sz w:val="28"/>
          <w:szCs w:val="28"/>
          <w:lang w:val="en-US"/>
        </w:rPr>
        <w:t>1</w:t>
      </w:r>
      <w:r>
        <w:rPr>
          <w:rFonts w:hint="eastAsia"/>
          <w:color w:val="auto"/>
          <w:sz w:val="28"/>
          <w:szCs w:val="28"/>
        </w:rPr>
        <w:t>年</w:t>
      </w:r>
      <w:r>
        <w:rPr>
          <w:rFonts w:hint="default"/>
          <w:color w:val="auto"/>
          <w:sz w:val="28"/>
          <w:szCs w:val="28"/>
          <w:lang w:val="en-US"/>
        </w:rPr>
        <w:t>3</w:t>
      </w:r>
      <w:r>
        <w:rPr>
          <w:rFonts w:hint="eastAsia"/>
          <w:color w:val="auto"/>
          <w:sz w:val="28"/>
          <w:szCs w:val="28"/>
        </w:rPr>
        <w:t>月</w:t>
      </w:r>
    </w:p>
    <w:p>
      <w:pPr>
        <w:keepNext/>
        <w:spacing w:line="560" w:lineRule="exact"/>
        <w:jc w:val="center"/>
        <w:rPr>
          <w:b/>
          <w:bCs/>
          <w:color w:val="auto"/>
          <w:sz w:val="36"/>
        </w:rPr>
        <w:sectPr>
          <w:footerReference r:id="rId6" w:type="first"/>
          <w:headerReference r:id="rId3" w:type="default"/>
          <w:footerReference r:id="rId4" w:type="default"/>
          <w:footerReference r:id="rId5" w:type="even"/>
          <w:pgSz w:w="11906" w:h="16838"/>
          <w:pgMar w:top="1701" w:right="1588" w:bottom="1814" w:left="1588" w:header="851" w:footer="992" w:gutter="0"/>
          <w:pgNumType w:fmt="upperRoman" w:start="1"/>
          <w:cols w:space="720" w:num="1"/>
          <w:docGrid w:type="lines" w:linePitch="312" w:charSpace="0"/>
        </w:sectPr>
      </w:pPr>
      <w:bookmarkStart w:id="63" w:name="_GoBack"/>
      <w:bookmarkEnd w:id="63"/>
    </w:p>
    <w:p>
      <w:pPr>
        <w:keepNext/>
        <w:spacing w:line="560" w:lineRule="exact"/>
        <w:jc w:val="center"/>
        <w:rPr>
          <w:b/>
          <w:bCs/>
          <w:color w:val="auto"/>
          <w:sz w:val="36"/>
        </w:rPr>
      </w:pPr>
      <w:r>
        <w:rPr>
          <w:rFonts w:hint="eastAsia"/>
          <w:b/>
          <w:bCs/>
          <w:color w:val="auto"/>
          <w:sz w:val="36"/>
        </w:rPr>
        <w:t>《建设项目环境影响报告表》编制说明</w:t>
      </w:r>
    </w:p>
    <w:p>
      <w:pPr>
        <w:spacing w:line="560" w:lineRule="exact"/>
        <w:rPr>
          <w:color w:val="auto"/>
          <w:sz w:val="28"/>
        </w:rPr>
      </w:pPr>
    </w:p>
    <w:p>
      <w:pPr>
        <w:spacing w:line="560" w:lineRule="exact"/>
        <w:ind w:firstLine="420"/>
        <w:rPr>
          <w:color w:val="auto"/>
          <w:sz w:val="28"/>
        </w:rPr>
      </w:pPr>
      <w:r>
        <w:rPr>
          <w:rFonts w:hint="eastAsia"/>
          <w:color w:val="auto"/>
          <w:sz w:val="28"/>
        </w:rPr>
        <w:t>《建设项目环境影响报告表》由具有从事环境影响评价工作资质的单位编制。</w:t>
      </w:r>
    </w:p>
    <w:p>
      <w:pPr>
        <w:spacing w:line="560" w:lineRule="exact"/>
        <w:ind w:firstLine="420"/>
        <w:rPr>
          <w:color w:val="auto"/>
          <w:sz w:val="28"/>
        </w:rPr>
      </w:pPr>
      <w:r>
        <w:rPr>
          <w:color w:val="auto"/>
          <w:sz w:val="28"/>
        </w:rPr>
        <w:t>1</w:t>
      </w:r>
      <w:r>
        <w:rPr>
          <w:rFonts w:hint="eastAsia"/>
          <w:color w:val="auto"/>
          <w:sz w:val="28"/>
        </w:rPr>
        <w:t>、项目名称</w:t>
      </w:r>
      <w:r>
        <w:rPr>
          <w:color w:val="auto"/>
          <w:sz w:val="28"/>
        </w:rPr>
        <w:t>——</w:t>
      </w:r>
      <w:r>
        <w:rPr>
          <w:rFonts w:hint="eastAsia"/>
          <w:color w:val="auto"/>
          <w:sz w:val="28"/>
        </w:rPr>
        <w:t>指项目立项批复时的名称，应不超过</w:t>
      </w:r>
      <w:r>
        <w:rPr>
          <w:color w:val="auto"/>
          <w:sz w:val="28"/>
        </w:rPr>
        <w:t>30</w:t>
      </w:r>
      <w:r>
        <w:rPr>
          <w:rFonts w:hint="eastAsia"/>
          <w:color w:val="auto"/>
          <w:sz w:val="28"/>
        </w:rPr>
        <w:t>个字</w:t>
      </w:r>
      <w:r>
        <w:rPr>
          <w:color w:val="auto"/>
          <w:sz w:val="28"/>
        </w:rPr>
        <w:t>(</w:t>
      </w:r>
      <w:r>
        <w:rPr>
          <w:rFonts w:hint="eastAsia"/>
          <w:color w:val="auto"/>
          <w:sz w:val="28"/>
        </w:rPr>
        <w:t>两个英文字段作一个汉字</w:t>
      </w:r>
      <w:r>
        <w:rPr>
          <w:color w:val="auto"/>
          <w:sz w:val="28"/>
        </w:rPr>
        <w:t>)</w:t>
      </w:r>
      <w:r>
        <w:rPr>
          <w:rFonts w:hint="eastAsia"/>
          <w:color w:val="auto"/>
          <w:sz w:val="28"/>
        </w:rPr>
        <w:t>。</w:t>
      </w:r>
    </w:p>
    <w:p>
      <w:pPr>
        <w:spacing w:line="560" w:lineRule="exact"/>
        <w:ind w:firstLine="420"/>
        <w:rPr>
          <w:color w:val="auto"/>
          <w:sz w:val="28"/>
        </w:rPr>
      </w:pPr>
      <w:r>
        <w:rPr>
          <w:color w:val="auto"/>
          <w:sz w:val="28"/>
        </w:rPr>
        <w:t>2</w:t>
      </w:r>
      <w:r>
        <w:rPr>
          <w:rFonts w:hint="eastAsia"/>
          <w:color w:val="auto"/>
          <w:sz w:val="28"/>
        </w:rPr>
        <w:t>、建设地点</w:t>
      </w:r>
      <w:r>
        <w:rPr>
          <w:color w:val="auto"/>
          <w:sz w:val="28"/>
        </w:rPr>
        <w:t>——</w:t>
      </w:r>
      <w:r>
        <w:rPr>
          <w:rFonts w:hint="eastAsia"/>
          <w:color w:val="auto"/>
          <w:sz w:val="28"/>
        </w:rPr>
        <w:t>指项目所在地详细地址，公路、铁路应填写起止地点。</w:t>
      </w:r>
    </w:p>
    <w:p>
      <w:pPr>
        <w:spacing w:line="560" w:lineRule="exact"/>
        <w:ind w:firstLine="420"/>
        <w:rPr>
          <w:color w:val="auto"/>
          <w:sz w:val="28"/>
        </w:rPr>
      </w:pPr>
      <w:r>
        <w:rPr>
          <w:color w:val="auto"/>
          <w:sz w:val="28"/>
        </w:rPr>
        <w:t>3</w:t>
      </w:r>
      <w:r>
        <w:rPr>
          <w:rFonts w:hint="eastAsia"/>
          <w:color w:val="auto"/>
          <w:sz w:val="28"/>
        </w:rPr>
        <w:t>、行业类别</w:t>
      </w:r>
      <w:r>
        <w:rPr>
          <w:color w:val="auto"/>
          <w:sz w:val="28"/>
        </w:rPr>
        <w:t>——</w:t>
      </w:r>
      <w:r>
        <w:rPr>
          <w:rFonts w:hint="eastAsia"/>
          <w:color w:val="auto"/>
          <w:sz w:val="28"/>
        </w:rPr>
        <w:t>按国标填写。</w:t>
      </w:r>
    </w:p>
    <w:p>
      <w:pPr>
        <w:spacing w:line="560" w:lineRule="exact"/>
        <w:ind w:firstLine="420"/>
        <w:rPr>
          <w:color w:val="auto"/>
          <w:sz w:val="28"/>
        </w:rPr>
      </w:pPr>
      <w:r>
        <w:rPr>
          <w:color w:val="auto"/>
          <w:sz w:val="28"/>
        </w:rPr>
        <w:t>4</w:t>
      </w:r>
      <w:r>
        <w:rPr>
          <w:rFonts w:hint="eastAsia"/>
          <w:color w:val="auto"/>
          <w:sz w:val="28"/>
        </w:rPr>
        <w:t>、总投资</w:t>
      </w:r>
      <w:r>
        <w:rPr>
          <w:color w:val="auto"/>
          <w:sz w:val="28"/>
        </w:rPr>
        <w:t>——</w:t>
      </w:r>
      <w:r>
        <w:rPr>
          <w:rFonts w:hint="eastAsia"/>
          <w:color w:val="auto"/>
          <w:sz w:val="28"/>
        </w:rPr>
        <w:t>指项目投资总额。</w:t>
      </w:r>
    </w:p>
    <w:p>
      <w:pPr>
        <w:spacing w:line="560" w:lineRule="exact"/>
        <w:ind w:firstLine="420"/>
        <w:rPr>
          <w:color w:val="auto"/>
          <w:sz w:val="28"/>
        </w:rPr>
      </w:pPr>
      <w:r>
        <w:rPr>
          <w:color w:val="auto"/>
          <w:sz w:val="28"/>
        </w:rPr>
        <w:t>5</w:t>
      </w:r>
      <w:r>
        <w:rPr>
          <w:rFonts w:hint="eastAsia"/>
          <w:color w:val="auto"/>
          <w:sz w:val="28"/>
        </w:rPr>
        <w:t>、主要环境保护目标</w:t>
      </w:r>
      <w:r>
        <w:rPr>
          <w:color w:val="auto"/>
          <w:sz w:val="28"/>
        </w:rPr>
        <w:t>——</w:t>
      </w:r>
      <w:r>
        <w:rPr>
          <w:rFonts w:hint="eastAsia"/>
          <w:color w:val="auto"/>
          <w:sz w:val="28"/>
        </w:rPr>
        <w:t>指项目区周围一定范围内集中居民住宅区、学校、医院、保护文物、风景名胜区、水源地和生态敏感点等，应尽可能给出保护目标、性质、规模和距厂界距离等。</w:t>
      </w:r>
    </w:p>
    <w:p>
      <w:pPr>
        <w:spacing w:line="560" w:lineRule="exact"/>
        <w:ind w:firstLine="420"/>
        <w:rPr>
          <w:color w:val="auto"/>
          <w:sz w:val="28"/>
        </w:rPr>
      </w:pPr>
      <w:r>
        <w:rPr>
          <w:color w:val="auto"/>
          <w:sz w:val="28"/>
        </w:rPr>
        <w:t>6</w:t>
      </w:r>
      <w:r>
        <w:rPr>
          <w:rFonts w:hint="eastAsia"/>
          <w:color w:val="auto"/>
          <w:sz w:val="28"/>
        </w:rPr>
        <w:t>、结论与建议</w:t>
      </w:r>
      <w:r>
        <w:rPr>
          <w:color w:val="auto"/>
          <w:sz w:val="28"/>
        </w:rPr>
        <w:t>——</w:t>
      </w:r>
      <w:r>
        <w:rPr>
          <w:rFonts w:hint="eastAsia"/>
          <w:color w:val="auto"/>
          <w:sz w:val="28"/>
        </w:rPr>
        <w:t>给出本项目清洁生产、达标排放和总量控制的分析结论，确定污染防治措施的有效性，说明本项目对环境造成的影响，给出建设项目环境可行性的明确结论。同时提出减少环境影响的其它建议。</w:t>
      </w:r>
    </w:p>
    <w:p>
      <w:pPr>
        <w:spacing w:line="560" w:lineRule="exact"/>
        <w:ind w:firstLine="420"/>
        <w:rPr>
          <w:color w:val="auto"/>
          <w:sz w:val="28"/>
        </w:rPr>
      </w:pPr>
      <w:r>
        <w:rPr>
          <w:color w:val="auto"/>
          <w:sz w:val="28"/>
        </w:rPr>
        <w:t>7</w:t>
      </w:r>
      <w:r>
        <w:rPr>
          <w:rFonts w:hint="eastAsia"/>
          <w:color w:val="auto"/>
          <w:sz w:val="28"/>
        </w:rPr>
        <w:t>、预审意见</w:t>
      </w:r>
      <w:r>
        <w:rPr>
          <w:color w:val="auto"/>
          <w:sz w:val="28"/>
        </w:rPr>
        <w:t>——</w:t>
      </w:r>
      <w:r>
        <w:rPr>
          <w:rFonts w:hint="eastAsia"/>
          <w:color w:val="auto"/>
          <w:sz w:val="28"/>
        </w:rPr>
        <w:t>由行业主管部门填写答复意见，无主管部门项目，可不填。</w:t>
      </w:r>
    </w:p>
    <w:p>
      <w:pPr>
        <w:spacing w:line="560" w:lineRule="exact"/>
        <w:ind w:firstLine="420"/>
        <w:rPr>
          <w:color w:val="auto"/>
          <w:sz w:val="28"/>
        </w:rPr>
      </w:pPr>
      <w:r>
        <w:rPr>
          <w:color w:val="auto"/>
          <w:sz w:val="28"/>
        </w:rPr>
        <w:t>8</w:t>
      </w:r>
      <w:r>
        <w:rPr>
          <w:rFonts w:hint="eastAsia"/>
          <w:color w:val="auto"/>
          <w:sz w:val="28"/>
        </w:rPr>
        <w:t>、审批意见</w:t>
      </w:r>
      <w:r>
        <w:rPr>
          <w:color w:val="auto"/>
          <w:sz w:val="28"/>
        </w:rPr>
        <w:t>——</w:t>
      </w:r>
      <w:r>
        <w:rPr>
          <w:rFonts w:hint="eastAsia"/>
          <w:color w:val="auto"/>
          <w:sz w:val="28"/>
        </w:rPr>
        <w:t>由负责审批该项目的环境保护行政主管部门批复。</w:t>
      </w:r>
    </w:p>
    <w:p>
      <w:pPr>
        <w:rPr>
          <w:color w:val="auto"/>
        </w:rPr>
      </w:pPr>
    </w:p>
    <w:p>
      <w:pPr>
        <w:rPr>
          <w:color w:val="auto"/>
        </w:rPr>
      </w:pPr>
    </w:p>
    <w:p>
      <w:pPr>
        <w:spacing w:line="360" w:lineRule="auto"/>
        <w:rPr>
          <w:color w:val="auto"/>
          <w:sz w:val="32"/>
        </w:rPr>
      </w:pPr>
    </w:p>
    <w:p>
      <w:pPr>
        <w:adjustRightInd w:val="0"/>
        <w:snapToGrid w:val="0"/>
        <w:spacing w:beforeLines="100"/>
        <w:rPr>
          <w:b/>
          <w:color w:val="auto"/>
          <w:sz w:val="32"/>
          <w:szCs w:val="32"/>
        </w:rPr>
      </w:pPr>
    </w:p>
    <w:p>
      <w:pPr>
        <w:pStyle w:val="334"/>
        <w:jc w:val="center"/>
        <w:rPr>
          <w:rFonts w:ascii="Times New Roman" w:hAnsi="Times New Roman"/>
          <w:color w:val="auto"/>
          <w:sz w:val="36"/>
          <w:lang w:val="zh-CN"/>
        </w:rPr>
      </w:pPr>
      <w:r>
        <w:rPr>
          <w:rFonts w:ascii="Times New Roman" w:hAnsi="Times New Roman"/>
          <w:color w:val="auto"/>
          <w:lang w:val="zh-CN"/>
        </w:rPr>
        <w:br w:type="page"/>
      </w:r>
      <w:r>
        <w:rPr>
          <w:rFonts w:hint="eastAsia" w:ascii="Times New Roman" w:hAnsi="Times New Roman"/>
          <w:color w:val="auto"/>
          <w:sz w:val="36"/>
          <w:lang w:val="zh-CN"/>
        </w:rPr>
        <w:t>目录</w:t>
      </w:r>
    </w:p>
    <w:p>
      <w:pPr>
        <w:pStyle w:val="58"/>
        <w:rPr>
          <w:rFonts w:eastAsiaTheme="minorEastAsia"/>
          <w:color w:val="auto"/>
          <w:szCs w:val="22"/>
        </w:rPr>
      </w:pPr>
      <w:r>
        <w:rPr>
          <w:color w:val="auto"/>
          <w:sz w:val="24"/>
          <w:szCs w:val="24"/>
        </w:rPr>
        <w:fldChar w:fldCharType="begin"/>
      </w:r>
      <w:r>
        <w:rPr>
          <w:color w:val="auto"/>
          <w:sz w:val="24"/>
          <w:szCs w:val="24"/>
        </w:rPr>
        <w:instrText xml:space="preserve"> TOC \o "1-1" \u </w:instrText>
      </w:r>
      <w:r>
        <w:rPr>
          <w:color w:val="auto"/>
          <w:sz w:val="24"/>
          <w:szCs w:val="24"/>
        </w:rPr>
        <w:fldChar w:fldCharType="separate"/>
      </w:r>
      <w:r>
        <w:rPr>
          <w:rFonts w:hint="eastAsia"/>
          <w:b/>
          <w:color w:val="auto"/>
        </w:rPr>
        <w:t>一、建设项目基本情况</w:t>
      </w:r>
      <w:r>
        <w:rPr>
          <w:color w:val="auto"/>
        </w:rPr>
        <w:tab/>
      </w:r>
      <w:r>
        <w:rPr>
          <w:color w:val="auto"/>
        </w:rPr>
        <w:fldChar w:fldCharType="begin"/>
      </w:r>
      <w:r>
        <w:rPr>
          <w:color w:val="auto"/>
        </w:rPr>
        <w:instrText xml:space="preserve"> PAGEREF _Toc40447919 \h </w:instrText>
      </w:r>
      <w:r>
        <w:rPr>
          <w:color w:val="auto"/>
        </w:rPr>
        <w:fldChar w:fldCharType="separate"/>
      </w:r>
      <w:r>
        <w:rPr>
          <w:color w:val="auto"/>
        </w:rPr>
        <w:t>33</w:t>
      </w:r>
      <w:r>
        <w:rPr>
          <w:color w:val="auto"/>
        </w:rPr>
        <w:fldChar w:fldCharType="end"/>
      </w:r>
    </w:p>
    <w:p>
      <w:pPr>
        <w:pStyle w:val="58"/>
        <w:rPr>
          <w:rFonts w:eastAsiaTheme="minorEastAsia"/>
          <w:color w:val="auto"/>
          <w:szCs w:val="22"/>
        </w:rPr>
      </w:pPr>
      <w:r>
        <w:rPr>
          <w:rFonts w:hint="eastAsia"/>
          <w:b/>
          <w:color w:val="auto"/>
        </w:rPr>
        <w:t>二、建设项目所在地自然环境简况</w:t>
      </w:r>
      <w:r>
        <w:rPr>
          <w:color w:val="auto"/>
        </w:rPr>
        <w:tab/>
      </w:r>
      <w:r>
        <w:rPr>
          <w:color w:val="auto"/>
        </w:rPr>
        <w:fldChar w:fldCharType="begin"/>
      </w:r>
      <w:r>
        <w:rPr>
          <w:color w:val="auto"/>
        </w:rPr>
        <w:instrText xml:space="preserve"> PAGEREF _Toc40447920 \h </w:instrText>
      </w:r>
      <w:r>
        <w:rPr>
          <w:color w:val="auto"/>
        </w:rPr>
        <w:fldChar w:fldCharType="separate"/>
      </w:r>
      <w:r>
        <w:rPr>
          <w:color w:val="auto"/>
        </w:rPr>
        <w:t>1313</w:t>
      </w:r>
      <w:r>
        <w:rPr>
          <w:color w:val="auto"/>
        </w:rPr>
        <w:fldChar w:fldCharType="end"/>
      </w:r>
    </w:p>
    <w:p>
      <w:pPr>
        <w:pStyle w:val="58"/>
        <w:rPr>
          <w:rFonts w:eastAsiaTheme="minorEastAsia"/>
          <w:color w:val="auto"/>
          <w:szCs w:val="22"/>
        </w:rPr>
      </w:pPr>
      <w:r>
        <w:rPr>
          <w:rFonts w:hint="eastAsia"/>
          <w:b/>
          <w:color w:val="auto"/>
        </w:rPr>
        <w:t>三、环境质量状况</w:t>
      </w:r>
      <w:r>
        <w:rPr>
          <w:color w:val="auto"/>
        </w:rPr>
        <w:tab/>
      </w:r>
      <w:r>
        <w:rPr>
          <w:color w:val="auto"/>
        </w:rPr>
        <w:fldChar w:fldCharType="begin"/>
      </w:r>
      <w:r>
        <w:rPr>
          <w:color w:val="auto"/>
        </w:rPr>
        <w:instrText xml:space="preserve"> PAGEREF _Toc40447921 \h </w:instrText>
      </w:r>
      <w:r>
        <w:rPr>
          <w:color w:val="auto"/>
        </w:rPr>
        <w:fldChar w:fldCharType="separate"/>
      </w:r>
      <w:r>
        <w:rPr>
          <w:color w:val="auto"/>
        </w:rPr>
        <w:t>1717</w:t>
      </w:r>
      <w:r>
        <w:rPr>
          <w:color w:val="auto"/>
        </w:rPr>
        <w:fldChar w:fldCharType="end"/>
      </w:r>
    </w:p>
    <w:p>
      <w:pPr>
        <w:pStyle w:val="58"/>
        <w:rPr>
          <w:rFonts w:eastAsiaTheme="minorEastAsia"/>
          <w:color w:val="auto"/>
          <w:szCs w:val="22"/>
        </w:rPr>
      </w:pPr>
      <w:r>
        <w:rPr>
          <w:rFonts w:hint="eastAsia"/>
          <w:b/>
          <w:color w:val="auto"/>
        </w:rPr>
        <w:t>四、评价适用标准</w:t>
      </w:r>
      <w:r>
        <w:rPr>
          <w:color w:val="auto"/>
        </w:rPr>
        <w:tab/>
      </w:r>
      <w:r>
        <w:rPr>
          <w:color w:val="auto"/>
        </w:rPr>
        <w:fldChar w:fldCharType="begin"/>
      </w:r>
      <w:r>
        <w:rPr>
          <w:color w:val="auto"/>
        </w:rPr>
        <w:instrText xml:space="preserve"> PAGEREF _Toc40447922 \h </w:instrText>
      </w:r>
      <w:r>
        <w:rPr>
          <w:color w:val="auto"/>
        </w:rPr>
        <w:fldChar w:fldCharType="separate"/>
      </w:r>
      <w:r>
        <w:rPr>
          <w:color w:val="auto"/>
        </w:rPr>
        <w:t>1919</w:t>
      </w:r>
      <w:r>
        <w:rPr>
          <w:color w:val="auto"/>
        </w:rPr>
        <w:fldChar w:fldCharType="end"/>
      </w:r>
    </w:p>
    <w:p>
      <w:pPr>
        <w:pStyle w:val="58"/>
        <w:rPr>
          <w:rFonts w:eastAsiaTheme="minorEastAsia"/>
          <w:color w:val="auto"/>
          <w:szCs w:val="22"/>
        </w:rPr>
      </w:pPr>
      <w:r>
        <w:rPr>
          <w:rFonts w:hint="eastAsia"/>
          <w:b/>
          <w:color w:val="auto"/>
        </w:rPr>
        <w:t>五、</w:t>
      </w:r>
      <w:r>
        <w:rPr>
          <w:b/>
          <w:color w:val="auto"/>
        </w:rPr>
        <w:t xml:space="preserve"> </w:t>
      </w:r>
      <w:r>
        <w:rPr>
          <w:rFonts w:hint="eastAsia"/>
          <w:b/>
          <w:color w:val="auto"/>
        </w:rPr>
        <w:t>工程分析</w:t>
      </w:r>
      <w:r>
        <w:rPr>
          <w:color w:val="auto"/>
        </w:rPr>
        <w:tab/>
      </w:r>
      <w:r>
        <w:rPr>
          <w:color w:val="auto"/>
        </w:rPr>
        <w:fldChar w:fldCharType="begin"/>
      </w:r>
      <w:r>
        <w:rPr>
          <w:color w:val="auto"/>
        </w:rPr>
        <w:instrText xml:space="preserve"> PAGEREF _Toc40447923 \h </w:instrText>
      </w:r>
      <w:r>
        <w:rPr>
          <w:color w:val="auto"/>
        </w:rPr>
        <w:fldChar w:fldCharType="separate"/>
      </w:r>
      <w:r>
        <w:rPr>
          <w:color w:val="auto"/>
        </w:rPr>
        <w:t>2020</w:t>
      </w:r>
      <w:r>
        <w:rPr>
          <w:color w:val="auto"/>
        </w:rPr>
        <w:fldChar w:fldCharType="end"/>
      </w:r>
    </w:p>
    <w:p>
      <w:pPr>
        <w:pStyle w:val="58"/>
        <w:rPr>
          <w:rFonts w:eastAsiaTheme="minorEastAsia"/>
          <w:color w:val="auto"/>
          <w:szCs w:val="22"/>
        </w:rPr>
      </w:pPr>
      <w:r>
        <w:rPr>
          <w:rFonts w:hint="eastAsia"/>
          <w:b/>
          <w:color w:val="auto"/>
        </w:rPr>
        <w:t>六、项目主要污染物产生及预计排放情况</w:t>
      </w:r>
      <w:r>
        <w:rPr>
          <w:color w:val="auto"/>
        </w:rPr>
        <w:tab/>
      </w:r>
      <w:r>
        <w:rPr>
          <w:color w:val="auto"/>
        </w:rPr>
        <w:fldChar w:fldCharType="begin"/>
      </w:r>
      <w:r>
        <w:rPr>
          <w:color w:val="auto"/>
        </w:rPr>
        <w:instrText xml:space="preserve"> PAGEREF _Toc40447924 \h </w:instrText>
      </w:r>
      <w:r>
        <w:rPr>
          <w:color w:val="auto"/>
        </w:rPr>
        <w:fldChar w:fldCharType="separate"/>
      </w:r>
      <w:r>
        <w:rPr>
          <w:color w:val="auto"/>
        </w:rPr>
        <w:t>2626</w:t>
      </w:r>
      <w:r>
        <w:rPr>
          <w:color w:val="auto"/>
        </w:rPr>
        <w:fldChar w:fldCharType="end"/>
      </w:r>
    </w:p>
    <w:p>
      <w:pPr>
        <w:pStyle w:val="58"/>
        <w:rPr>
          <w:rFonts w:eastAsiaTheme="minorEastAsia"/>
          <w:color w:val="auto"/>
          <w:szCs w:val="22"/>
        </w:rPr>
      </w:pPr>
      <w:r>
        <w:rPr>
          <w:rFonts w:hint="eastAsia"/>
          <w:b/>
          <w:color w:val="auto"/>
        </w:rPr>
        <w:t>七、环境影响分析</w:t>
      </w:r>
      <w:r>
        <w:rPr>
          <w:color w:val="auto"/>
        </w:rPr>
        <w:tab/>
      </w:r>
      <w:r>
        <w:rPr>
          <w:color w:val="auto"/>
        </w:rPr>
        <w:fldChar w:fldCharType="begin"/>
      </w:r>
      <w:r>
        <w:rPr>
          <w:color w:val="auto"/>
        </w:rPr>
        <w:instrText xml:space="preserve"> PAGEREF _Toc40447925 \h </w:instrText>
      </w:r>
      <w:r>
        <w:rPr>
          <w:color w:val="auto"/>
        </w:rPr>
        <w:fldChar w:fldCharType="separate"/>
      </w:r>
      <w:r>
        <w:rPr>
          <w:color w:val="auto"/>
        </w:rPr>
        <w:t>2727</w:t>
      </w:r>
      <w:r>
        <w:rPr>
          <w:color w:val="auto"/>
        </w:rPr>
        <w:fldChar w:fldCharType="end"/>
      </w:r>
    </w:p>
    <w:p>
      <w:pPr>
        <w:pStyle w:val="58"/>
        <w:rPr>
          <w:rFonts w:eastAsiaTheme="minorEastAsia"/>
          <w:color w:val="auto"/>
          <w:szCs w:val="22"/>
        </w:rPr>
      </w:pPr>
      <w:r>
        <w:rPr>
          <w:rFonts w:hint="eastAsia"/>
          <w:b/>
          <w:color w:val="auto"/>
        </w:rPr>
        <w:t>八、建设项目拟采取的防治措施及预期治理效果</w:t>
      </w:r>
      <w:r>
        <w:rPr>
          <w:color w:val="auto"/>
        </w:rPr>
        <w:tab/>
      </w:r>
      <w:r>
        <w:rPr>
          <w:color w:val="auto"/>
        </w:rPr>
        <w:fldChar w:fldCharType="begin"/>
      </w:r>
      <w:r>
        <w:rPr>
          <w:color w:val="auto"/>
        </w:rPr>
        <w:instrText xml:space="preserve"> PAGEREF _Toc40447926 \h </w:instrText>
      </w:r>
      <w:r>
        <w:rPr>
          <w:color w:val="auto"/>
        </w:rPr>
        <w:fldChar w:fldCharType="separate"/>
      </w:r>
      <w:r>
        <w:rPr>
          <w:color w:val="auto"/>
        </w:rPr>
        <w:t>4545</w:t>
      </w:r>
      <w:r>
        <w:rPr>
          <w:color w:val="auto"/>
        </w:rPr>
        <w:fldChar w:fldCharType="end"/>
      </w:r>
    </w:p>
    <w:p>
      <w:pPr>
        <w:pStyle w:val="58"/>
        <w:rPr>
          <w:rFonts w:eastAsiaTheme="minorEastAsia"/>
          <w:color w:val="auto"/>
          <w:szCs w:val="22"/>
        </w:rPr>
      </w:pPr>
      <w:r>
        <w:rPr>
          <w:rFonts w:hint="eastAsia"/>
          <w:b/>
          <w:color w:val="auto"/>
        </w:rPr>
        <w:t>九、结论与建议</w:t>
      </w:r>
      <w:r>
        <w:rPr>
          <w:color w:val="auto"/>
        </w:rPr>
        <w:tab/>
      </w:r>
      <w:r>
        <w:rPr>
          <w:color w:val="auto"/>
        </w:rPr>
        <w:fldChar w:fldCharType="begin"/>
      </w:r>
      <w:r>
        <w:rPr>
          <w:color w:val="auto"/>
        </w:rPr>
        <w:instrText xml:space="preserve"> PAGEREF _Toc40447927 \h </w:instrText>
      </w:r>
      <w:r>
        <w:rPr>
          <w:color w:val="auto"/>
        </w:rPr>
        <w:fldChar w:fldCharType="separate"/>
      </w:r>
      <w:r>
        <w:rPr>
          <w:color w:val="auto"/>
        </w:rPr>
        <w:t>4646</w:t>
      </w:r>
      <w:r>
        <w:rPr>
          <w:color w:val="auto"/>
        </w:rPr>
        <w:fldChar w:fldCharType="end"/>
      </w:r>
    </w:p>
    <w:p>
      <w:pPr>
        <w:pStyle w:val="58"/>
        <w:rPr>
          <w:rFonts w:eastAsiaTheme="minorEastAsia"/>
          <w:color w:val="auto"/>
          <w:szCs w:val="22"/>
        </w:rPr>
      </w:pPr>
      <w:r>
        <w:rPr>
          <w:rFonts w:hint="eastAsia"/>
          <w:b/>
          <w:color w:val="auto"/>
        </w:rPr>
        <w:t>电磁环境影响专题评价</w:t>
      </w:r>
      <w:r>
        <w:rPr>
          <w:color w:val="auto"/>
        </w:rPr>
        <w:tab/>
      </w:r>
      <w:r>
        <w:rPr>
          <w:color w:val="auto"/>
        </w:rPr>
        <w:fldChar w:fldCharType="begin"/>
      </w:r>
      <w:r>
        <w:rPr>
          <w:color w:val="auto"/>
        </w:rPr>
        <w:instrText xml:space="preserve"> PAGEREF _Toc40447928 \h </w:instrText>
      </w:r>
      <w:r>
        <w:rPr>
          <w:color w:val="auto"/>
        </w:rPr>
        <w:fldChar w:fldCharType="separate"/>
      </w:r>
      <w:r>
        <w:rPr>
          <w:color w:val="auto"/>
        </w:rPr>
        <w:t>4949</w:t>
      </w:r>
      <w:r>
        <w:rPr>
          <w:color w:val="auto"/>
        </w:rPr>
        <w:fldChar w:fldCharType="end"/>
      </w:r>
    </w:p>
    <w:p>
      <w:pPr>
        <w:tabs>
          <w:tab w:val="right" w:leader="dot" w:pos="9184"/>
        </w:tabs>
        <w:spacing w:line="360" w:lineRule="auto"/>
        <w:rPr>
          <w:color w:val="auto"/>
        </w:rPr>
      </w:pPr>
      <w:r>
        <w:rPr>
          <w:color w:val="auto"/>
          <w:sz w:val="24"/>
          <w:szCs w:val="24"/>
        </w:rPr>
        <w:fldChar w:fldCharType="end"/>
      </w:r>
    </w:p>
    <w:p>
      <w:pPr>
        <w:adjustRightInd w:val="0"/>
        <w:snapToGrid w:val="0"/>
        <w:spacing w:beforeLines="100"/>
        <w:rPr>
          <w:b/>
          <w:color w:val="auto"/>
          <w:sz w:val="32"/>
          <w:szCs w:val="32"/>
        </w:rPr>
        <w:sectPr>
          <w:footerReference r:id="rId7" w:type="default"/>
          <w:pgSz w:w="11906" w:h="16838"/>
          <w:pgMar w:top="1418" w:right="1247" w:bottom="1418" w:left="1418" w:header="851" w:footer="992" w:gutter="57"/>
          <w:pgNumType w:start="1"/>
          <w:cols w:space="720" w:num="1"/>
          <w:docGrid w:type="linesAndChars" w:linePitch="312" w:charSpace="0"/>
        </w:sectPr>
      </w:pPr>
    </w:p>
    <w:p>
      <w:pPr>
        <w:pStyle w:val="5"/>
        <w:adjustRightInd w:val="0"/>
        <w:snapToGrid w:val="0"/>
        <w:spacing w:line="360" w:lineRule="auto"/>
        <w:ind w:left="108"/>
        <w:jc w:val="both"/>
        <w:rPr>
          <w:b/>
          <w:bCs/>
          <w:color w:val="auto"/>
          <w:sz w:val="30"/>
          <w:szCs w:val="30"/>
        </w:rPr>
      </w:pPr>
      <w:r>
        <w:rPr>
          <w:rFonts w:hint="eastAsia"/>
          <w:b/>
          <w:color w:val="auto"/>
          <w:sz w:val="30"/>
          <w:szCs w:val="30"/>
        </w:rPr>
        <w:t>一、建设项目基本情况</w:t>
      </w:r>
      <w:bookmarkStart w:id="0" w:name="_Toc244053166"/>
      <w:bookmarkStart w:id="1" w:name="_Toc40447919"/>
      <w:r>
        <w:rPr>
          <w:rFonts w:hint="eastAsia"/>
          <w:b/>
          <w:color w:val="auto"/>
          <w:sz w:val="30"/>
          <w:szCs w:val="30"/>
        </w:rPr>
        <w:t>项目基本情况</w:t>
      </w:r>
      <w:bookmarkEnd w:id="0"/>
      <w:bookmarkEnd w:id="1"/>
    </w:p>
    <w:tbl>
      <w:tblPr>
        <w:tblStyle w:val="86"/>
        <w:tblW w:w="934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31"/>
        <w:gridCol w:w="2274"/>
        <w:gridCol w:w="340"/>
        <w:gridCol w:w="815"/>
        <w:gridCol w:w="127"/>
        <w:gridCol w:w="199"/>
        <w:gridCol w:w="1132"/>
        <w:gridCol w:w="64"/>
        <w:gridCol w:w="1506"/>
        <w:gridCol w:w="115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7" w:hRule="atLeast"/>
          <w:jc w:val="center"/>
        </w:trPr>
        <w:tc>
          <w:tcPr>
            <w:tcW w:w="1731" w:type="dxa"/>
            <w:vAlign w:val="center"/>
          </w:tcPr>
          <w:p>
            <w:pPr>
              <w:jc w:val="center"/>
              <w:rPr>
                <w:b/>
                <w:color w:val="auto"/>
                <w:sz w:val="24"/>
                <w:szCs w:val="24"/>
              </w:rPr>
            </w:pPr>
            <w:r>
              <w:rPr>
                <w:rFonts w:hint="eastAsia"/>
                <w:b/>
                <w:color w:val="auto"/>
                <w:sz w:val="24"/>
                <w:szCs w:val="24"/>
              </w:rPr>
              <w:t>项目名称</w:t>
            </w:r>
          </w:p>
        </w:tc>
        <w:tc>
          <w:tcPr>
            <w:tcW w:w="7613" w:type="dxa"/>
            <w:gridSpan w:val="9"/>
            <w:vAlign w:val="center"/>
          </w:tcPr>
          <w:p>
            <w:pPr>
              <w:jc w:val="center"/>
              <w:rPr>
                <w:color w:val="auto"/>
                <w:sz w:val="24"/>
                <w:szCs w:val="24"/>
              </w:rPr>
            </w:pPr>
            <w:r>
              <w:rPr>
                <w:rFonts w:hint="eastAsia"/>
                <w:color w:val="auto"/>
                <w:sz w:val="24"/>
                <w:szCs w:val="24"/>
              </w:rPr>
              <w:t>儒林</w:t>
            </w:r>
            <w:r>
              <w:rPr>
                <w:color w:val="auto"/>
                <w:sz w:val="24"/>
                <w:szCs w:val="24"/>
              </w:rPr>
              <w:t>100MW/200MWh</w:t>
            </w:r>
            <w:r>
              <w:rPr>
                <w:rFonts w:hint="eastAsia"/>
                <w:color w:val="auto"/>
                <w:sz w:val="24"/>
                <w:szCs w:val="24"/>
              </w:rPr>
              <w:t>储能电站项目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4" w:hRule="atLeast"/>
          <w:jc w:val="center"/>
        </w:trPr>
        <w:tc>
          <w:tcPr>
            <w:tcW w:w="1731" w:type="dxa"/>
            <w:vAlign w:val="center"/>
          </w:tcPr>
          <w:p>
            <w:pPr>
              <w:jc w:val="center"/>
              <w:rPr>
                <w:b/>
                <w:color w:val="auto"/>
                <w:sz w:val="24"/>
                <w:szCs w:val="24"/>
              </w:rPr>
            </w:pPr>
            <w:r>
              <w:rPr>
                <w:rFonts w:hint="eastAsia"/>
                <w:b/>
                <w:color w:val="auto"/>
                <w:sz w:val="24"/>
                <w:szCs w:val="24"/>
              </w:rPr>
              <w:t>建设单位</w:t>
            </w:r>
          </w:p>
        </w:tc>
        <w:tc>
          <w:tcPr>
            <w:tcW w:w="7613" w:type="dxa"/>
            <w:gridSpan w:val="9"/>
            <w:vAlign w:val="center"/>
          </w:tcPr>
          <w:p>
            <w:pPr>
              <w:jc w:val="center"/>
              <w:rPr>
                <w:color w:val="auto"/>
                <w:sz w:val="24"/>
                <w:szCs w:val="24"/>
              </w:rPr>
            </w:pPr>
            <w:r>
              <w:rPr>
                <w:rFonts w:hint="eastAsia"/>
                <w:color w:val="auto"/>
                <w:sz w:val="24"/>
                <w:szCs w:val="24"/>
              </w:rPr>
              <w:t>城步善能新能源有限责任公司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5" w:hRule="atLeast"/>
          <w:jc w:val="center"/>
        </w:trPr>
        <w:tc>
          <w:tcPr>
            <w:tcW w:w="1731" w:type="dxa"/>
            <w:vAlign w:val="center"/>
          </w:tcPr>
          <w:p>
            <w:pPr>
              <w:jc w:val="center"/>
              <w:rPr>
                <w:b/>
                <w:color w:val="auto"/>
                <w:sz w:val="24"/>
                <w:szCs w:val="24"/>
              </w:rPr>
            </w:pPr>
            <w:r>
              <w:rPr>
                <w:rFonts w:hint="eastAsia"/>
                <w:b/>
                <w:color w:val="auto"/>
                <w:sz w:val="24"/>
                <w:szCs w:val="24"/>
              </w:rPr>
              <w:t>法人代表</w:t>
            </w:r>
          </w:p>
        </w:tc>
        <w:tc>
          <w:tcPr>
            <w:tcW w:w="3429" w:type="dxa"/>
            <w:gridSpan w:val="3"/>
            <w:vAlign w:val="center"/>
          </w:tcPr>
          <w:p>
            <w:pPr>
              <w:jc w:val="center"/>
              <w:rPr>
                <w:color w:val="auto"/>
                <w:sz w:val="24"/>
              </w:rPr>
            </w:pPr>
            <w:r>
              <w:rPr>
                <w:rFonts w:hint="eastAsia"/>
                <w:color w:val="auto"/>
                <w:sz w:val="24"/>
              </w:rPr>
              <w:t>张安</w:t>
            </w:r>
          </w:p>
        </w:tc>
        <w:tc>
          <w:tcPr>
            <w:tcW w:w="1522" w:type="dxa"/>
            <w:gridSpan w:val="4"/>
            <w:vAlign w:val="center"/>
          </w:tcPr>
          <w:p>
            <w:pPr>
              <w:jc w:val="center"/>
              <w:rPr>
                <w:color w:val="auto"/>
                <w:sz w:val="24"/>
              </w:rPr>
            </w:pPr>
            <w:r>
              <w:rPr>
                <w:rFonts w:hint="eastAsia"/>
                <w:color w:val="auto"/>
                <w:sz w:val="24"/>
              </w:rPr>
              <w:t>联系人</w:t>
            </w:r>
          </w:p>
        </w:tc>
        <w:tc>
          <w:tcPr>
            <w:tcW w:w="2662" w:type="dxa"/>
            <w:gridSpan w:val="2"/>
            <w:vAlign w:val="center"/>
          </w:tcPr>
          <w:p>
            <w:pPr>
              <w:jc w:val="center"/>
              <w:rPr>
                <w:color w:val="auto"/>
                <w:sz w:val="24"/>
              </w:rPr>
            </w:pPr>
            <w:r>
              <w:rPr>
                <w:rFonts w:hint="eastAsia"/>
                <w:color w:val="auto"/>
                <w:sz w:val="24"/>
              </w:rPr>
              <w:t>夏志伟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2" w:hRule="atLeast"/>
          <w:jc w:val="center"/>
        </w:trPr>
        <w:tc>
          <w:tcPr>
            <w:tcW w:w="1731" w:type="dxa"/>
            <w:vAlign w:val="center"/>
          </w:tcPr>
          <w:p>
            <w:pPr>
              <w:jc w:val="center"/>
              <w:rPr>
                <w:b/>
                <w:color w:val="auto"/>
                <w:sz w:val="24"/>
                <w:szCs w:val="24"/>
              </w:rPr>
            </w:pPr>
            <w:r>
              <w:rPr>
                <w:rFonts w:hint="eastAsia"/>
                <w:b/>
                <w:color w:val="auto"/>
                <w:sz w:val="24"/>
                <w:szCs w:val="24"/>
              </w:rPr>
              <w:t>通讯地址</w:t>
            </w:r>
          </w:p>
        </w:tc>
        <w:tc>
          <w:tcPr>
            <w:tcW w:w="7613" w:type="dxa"/>
            <w:gridSpan w:val="9"/>
            <w:vAlign w:val="center"/>
          </w:tcPr>
          <w:p>
            <w:pPr>
              <w:adjustRightInd w:val="0"/>
              <w:snapToGrid w:val="0"/>
              <w:jc w:val="center"/>
              <w:rPr>
                <w:color w:val="auto"/>
                <w:sz w:val="24"/>
                <w:szCs w:val="24"/>
              </w:rPr>
            </w:pPr>
            <w:r>
              <w:rPr>
                <w:rFonts w:hint="eastAsia"/>
                <w:color w:val="auto"/>
                <w:sz w:val="24"/>
                <w:szCs w:val="24"/>
              </w:rPr>
              <w:t>邵阳市城步苗族自治县儒林镇南山大道（和顺园酒店</w:t>
            </w:r>
            <w:r>
              <w:rPr>
                <w:color w:val="auto"/>
                <w:sz w:val="24"/>
                <w:szCs w:val="24"/>
              </w:rPr>
              <w:t>3</w:t>
            </w:r>
            <w:r>
              <w:rPr>
                <w:rFonts w:hint="eastAsia"/>
                <w:color w:val="auto"/>
                <w:sz w:val="24"/>
                <w:szCs w:val="24"/>
              </w:rPr>
              <w:t>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jc w:val="center"/>
        </w:trPr>
        <w:tc>
          <w:tcPr>
            <w:tcW w:w="1731" w:type="dxa"/>
            <w:vAlign w:val="center"/>
          </w:tcPr>
          <w:p>
            <w:pPr>
              <w:jc w:val="center"/>
              <w:rPr>
                <w:b/>
                <w:color w:val="auto"/>
                <w:sz w:val="24"/>
                <w:szCs w:val="24"/>
              </w:rPr>
            </w:pPr>
            <w:r>
              <w:rPr>
                <w:rFonts w:hint="eastAsia"/>
                <w:b/>
                <w:color w:val="auto"/>
                <w:sz w:val="24"/>
                <w:szCs w:val="24"/>
              </w:rPr>
              <w:t>联系电话</w:t>
            </w:r>
          </w:p>
        </w:tc>
        <w:tc>
          <w:tcPr>
            <w:tcW w:w="2614" w:type="dxa"/>
            <w:gridSpan w:val="2"/>
            <w:vAlign w:val="center"/>
          </w:tcPr>
          <w:p>
            <w:pPr>
              <w:jc w:val="center"/>
              <w:rPr>
                <w:color w:val="auto"/>
                <w:sz w:val="24"/>
              </w:rPr>
            </w:pPr>
            <w:r>
              <w:rPr>
                <w:color w:val="auto"/>
                <w:sz w:val="24"/>
              </w:rPr>
              <w:t>13974929220</w:t>
            </w:r>
          </w:p>
        </w:tc>
        <w:tc>
          <w:tcPr>
            <w:tcW w:w="815" w:type="dxa"/>
            <w:vAlign w:val="center"/>
          </w:tcPr>
          <w:p>
            <w:pPr>
              <w:jc w:val="center"/>
              <w:rPr>
                <w:b/>
                <w:color w:val="auto"/>
                <w:sz w:val="24"/>
              </w:rPr>
            </w:pPr>
            <w:r>
              <w:rPr>
                <w:rFonts w:hint="eastAsia"/>
                <w:b/>
                <w:color w:val="auto"/>
                <w:sz w:val="24"/>
              </w:rPr>
              <w:t>传真</w:t>
            </w:r>
          </w:p>
        </w:tc>
        <w:tc>
          <w:tcPr>
            <w:tcW w:w="1522" w:type="dxa"/>
            <w:gridSpan w:val="4"/>
            <w:vAlign w:val="center"/>
          </w:tcPr>
          <w:p>
            <w:pPr>
              <w:jc w:val="center"/>
              <w:rPr>
                <w:color w:val="auto"/>
                <w:sz w:val="24"/>
              </w:rPr>
            </w:pPr>
            <w:r>
              <w:rPr>
                <w:color w:val="auto"/>
                <w:sz w:val="24"/>
              </w:rPr>
              <w:t>/</w:t>
            </w:r>
          </w:p>
        </w:tc>
        <w:tc>
          <w:tcPr>
            <w:tcW w:w="1506" w:type="dxa"/>
            <w:vAlign w:val="center"/>
          </w:tcPr>
          <w:p>
            <w:pPr>
              <w:jc w:val="center"/>
              <w:rPr>
                <w:color w:val="auto"/>
                <w:sz w:val="24"/>
              </w:rPr>
            </w:pPr>
            <w:r>
              <w:rPr>
                <w:rFonts w:hint="eastAsia"/>
                <w:color w:val="auto"/>
                <w:sz w:val="24"/>
              </w:rPr>
              <w:t>邮政编码</w:t>
            </w:r>
          </w:p>
        </w:tc>
        <w:tc>
          <w:tcPr>
            <w:tcW w:w="1156" w:type="dxa"/>
            <w:vAlign w:val="center"/>
          </w:tcPr>
          <w:p>
            <w:pPr>
              <w:jc w:val="center"/>
              <w:rPr>
                <w:color w:val="auto"/>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6" w:hRule="atLeast"/>
          <w:jc w:val="center"/>
        </w:trPr>
        <w:tc>
          <w:tcPr>
            <w:tcW w:w="1731" w:type="dxa"/>
            <w:vAlign w:val="center"/>
          </w:tcPr>
          <w:p>
            <w:pPr>
              <w:jc w:val="center"/>
              <w:rPr>
                <w:b/>
                <w:color w:val="auto"/>
                <w:sz w:val="24"/>
                <w:szCs w:val="24"/>
              </w:rPr>
            </w:pPr>
            <w:r>
              <w:rPr>
                <w:rFonts w:hint="eastAsia"/>
                <w:b/>
                <w:color w:val="auto"/>
                <w:sz w:val="24"/>
                <w:szCs w:val="24"/>
              </w:rPr>
              <w:t>建设地点</w:t>
            </w:r>
          </w:p>
        </w:tc>
        <w:tc>
          <w:tcPr>
            <w:tcW w:w="7613" w:type="dxa"/>
            <w:gridSpan w:val="9"/>
            <w:vAlign w:val="center"/>
          </w:tcPr>
          <w:p>
            <w:pPr>
              <w:jc w:val="center"/>
              <w:rPr>
                <w:color w:val="auto"/>
                <w:sz w:val="24"/>
              </w:rPr>
            </w:pPr>
            <w:r>
              <w:rPr>
                <w:rFonts w:hint="eastAsia"/>
                <w:bCs/>
                <w:color w:val="auto"/>
                <w:sz w:val="24"/>
                <w:szCs w:val="24"/>
              </w:rPr>
              <w:t>邵阳市城步苗族自治</w:t>
            </w:r>
            <w:r>
              <w:rPr>
                <w:rFonts w:hint="eastAsia"/>
                <w:bCs/>
                <w:color w:val="auto"/>
                <w:sz w:val="24"/>
                <w:szCs w:val="24"/>
                <w:lang w:eastAsia="zh-CN"/>
              </w:rPr>
              <w:t>县</w:t>
            </w:r>
            <w:r>
              <w:rPr>
                <w:rFonts w:hint="eastAsia"/>
                <w:bCs/>
                <w:color w:val="auto"/>
                <w:sz w:val="24"/>
                <w:szCs w:val="24"/>
              </w:rPr>
              <w:t>儒林镇县儒林</w:t>
            </w:r>
            <w:r>
              <w:rPr>
                <w:bCs/>
                <w:color w:val="auto"/>
                <w:sz w:val="24"/>
                <w:szCs w:val="24"/>
              </w:rPr>
              <w:t>220kV</w:t>
            </w:r>
            <w:r>
              <w:rPr>
                <w:rFonts w:hint="eastAsia"/>
                <w:bCs/>
                <w:color w:val="auto"/>
                <w:sz w:val="24"/>
                <w:szCs w:val="24"/>
              </w:rPr>
              <w:t>变电站西侧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1731" w:type="dxa"/>
            <w:vAlign w:val="center"/>
          </w:tcPr>
          <w:p>
            <w:pPr>
              <w:jc w:val="center"/>
              <w:rPr>
                <w:b/>
                <w:color w:val="auto"/>
                <w:sz w:val="24"/>
                <w:szCs w:val="24"/>
              </w:rPr>
            </w:pPr>
            <w:r>
              <w:rPr>
                <w:rFonts w:hint="eastAsia"/>
                <w:b/>
                <w:color w:val="auto"/>
                <w:sz w:val="24"/>
                <w:szCs w:val="24"/>
              </w:rPr>
              <w:t>立项审批部门</w:t>
            </w:r>
          </w:p>
        </w:tc>
        <w:tc>
          <w:tcPr>
            <w:tcW w:w="3556" w:type="dxa"/>
            <w:gridSpan w:val="4"/>
            <w:vAlign w:val="center"/>
          </w:tcPr>
          <w:p>
            <w:pPr>
              <w:jc w:val="center"/>
              <w:rPr>
                <w:color w:val="auto"/>
                <w:sz w:val="24"/>
                <w:szCs w:val="24"/>
              </w:rPr>
            </w:pPr>
            <w:r>
              <w:rPr>
                <w:rFonts w:hint="eastAsia"/>
                <w:color w:val="auto"/>
                <w:sz w:val="24"/>
                <w:szCs w:val="24"/>
              </w:rPr>
              <w:t>城步苗族自治县发展和改革局</w:t>
            </w:r>
          </w:p>
        </w:tc>
        <w:tc>
          <w:tcPr>
            <w:tcW w:w="1331" w:type="dxa"/>
            <w:gridSpan w:val="2"/>
            <w:vAlign w:val="center"/>
          </w:tcPr>
          <w:p>
            <w:pPr>
              <w:jc w:val="center"/>
              <w:rPr>
                <w:b/>
                <w:color w:val="auto"/>
                <w:sz w:val="24"/>
                <w:szCs w:val="24"/>
              </w:rPr>
            </w:pPr>
            <w:r>
              <w:rPr>
                <w:rFonts w:hint="eastAsia"/>
                <w:b/>
                <w:color w:val="auto"/>
                <w:sz w:val="24"/>
                <w:szCs w:val="24"/>
              </w:rPr>
              <w:t>批准文号</w:t>
            </w:r>
          </w:p>
        </w:tc>
        <w:tc>
          <w:tcPr>
            <w:tcW w:w="2726" w:type="dxa"/>
            <w:gridSpan w:val="3"/>
            <w:vAlign w:val="center"/>
          </w:tcPr>
          <w:p>
            <w:pPr>
              <w:jc w:val="center"/>
              <w:rPr>
                <w:color w:val="auto"/>
                <w:sz w:val="24"/>
                <w:szCs w:val="24"/>
              </w:rPr>
            </w:pPr>
            <w:r>
              <w:rPr>
                <w:color w:val="auto"/>
                <w:sz w:val="24"/>
                <w:szCs w:val="24"/>
              </w:rPr>
              <w:t>2020051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2" w:hRule="atLeast"/>
          <w:jc w:val="center"/>
        </w:trPr>
        <w:tc>
          <w:tcPr>
            <w:tcW w:w="1731" w:type="dxa"/>
            <w:vAlign w:val="center"/>
          </w:tcPr>
          <w:p>
            <w:pPr>
              <w:jc w:val="center"/>
              <w:rPr>
                <w:b/>
                <w:color w:val="auto"/>
                <w:sz w:val="24"/>
                <w:szCs w:val="24"/>
              </w:rPr>
            </w:pPr>
            <w:r>
              <w:rPr>
                <w:rFonts w:hint="eastAsia"/>
                <w:b/>
                <w:color w:val="auto"/>
                <w:sz w:val="24"/>
                <w:szCs w:val="24"/>
              </w:rPr>
              <w:t>建设性质</w:t>
            </w:r>
          </w:p>
        </w:tc>
        <w:tc>
          <w:tcPr>
            <w:tcW w:w="3556" w:type="dxa"/>
            <w:gridSpan w:val="4"/>
            <w:vAlign w:val="center"/>
          </w:tcPr>
          <w:p>
            <w:pPr>
              <w:jc w:val="center"/>
              <w:rPr>
                <w:color w:val="auto"/>
                <w:sz w:val="24"/>
                <w:szCs w:val="24"/>
              </w:rPr>
            </w:pPr>
            <w:r>
              <w:rPr>
                <w:rFonts w:hint="eastAsia"/>
                <w:bCs/>
                <w:color w:val="auto"/>
                <w:sz w:val="24"/>
                <w:szCs w:val="24"/>
              </w:rPr>
              <w:t>新建</w:t>
            </w:r>
          </w:p>
        </w:tc>
        <w:tc>
          <w:tcPr>
            <w:tcW w:w="1331" w:type="dxa"/>
            <w:gridSpan w:val="2"/>
            <w:vAlign w:val="center"/>
          </w:tcPr>
          <w:p>
            <w:pPr>
              <w:jc w:val="center"/>
              <w:rPr>
                <w:b/>
                <w:color w:val="auto"/>
                <w:sz w:val="24"/>
                <w:szCs w:val="24"/>
              </w:rPr>
            </w:pPr>
            <w:r>
              <w:rPr>
                <w:rFonts w:hint="eastAsia"/>
                <w:b/>
                <w:color w:val="auto"/>
                <w:sz w:val="24"/>
                <w:szCs w:val="24"/>
              </w:rPr>
              <w:t>行业类别</w:t>
            </w:r>
          </w:p>
          <w:p>
            <w:pPr>
              <w:jc w:val="center"/>
              <w:rPr>
                <w:b/>
                <w:color w:val="auto"/>
                <w:sz w:val="24"/>
                <w:szCs w:val="24"/>
              </w:rPr>
            </w:pPr>
            <w:r>
              <w:rPr>
                <w:rFonts w:hint="eastAsia"/>
                <w:b/>
                <w:color w:val="auto"/>
                <w:sz w:val="24"/>
                <w:szCs w:val="24"/>
              </w:rPr>
              <w:t>及代码</w:t>
            </w:r>
          </w:p>
        </w:tc>
        <w:tc>
          <w:tcPr>
            <w:tcW w:w="2726" w:type="dxa"/>
            <w:gridSpan w:val="3"/>
            <w:vAlign w:val="center"/>
          </w:tcPr>
          <w:p>
            <w:pPr>
              <w:jc w:val="center"/>
              <w:rPr>
                <w:color w:val="auto"/>
                <w:kern w:val="0"/>
                <w:sz w:val="18"/>
                <w:szCs w:val="18"/>
              </w:rPr>
            </w:pPr>
            <w:r>
              <w:rPr>
                <w:rFonts w:hint="eastAsia"/>
                <w:color w:val="auto"/>
                <w:sz w:val="24"/>
              </w:rPr>
              <w:t>电力供应</w:t>
            </w:r>
            <w:r>
              <w:rPr>
                <w:color w:val="auto"/>
                <w:sz w:val="24"/>
              </w:rPr>
              <w:t>D4420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11" w:hRule="atLeast"/>
          <w:jc w:val="center"/>
        </w:trPr>
        <w:tc>
          <w:tcPr>
            <w:tcW w:w="1731" w:type="dxa"/>
            <w:vAlign w:val="center"/>
          </w:tcPr>
          <w:p>
            <w:pPr>
              <w:jc w:val="center"/>
              <w:rPr>
                <w:b/>
                <w:color w:val="auto"/>
                <w:sz w:val="24"/>
                <w:szCs w:val="24"/>
              </w:rPr>
            </w:pPr>
            <w:r>
              <w:rPr>
                <w:rFonts w:hint="eastAsia"/>
                <w:b/>
                <w:color w:val="auto"/>
                <w:sz w:val="24"/>
                <w:szCs w:val="24"/>
              </w:rPr>
              <w:t>占地面积（</w:t>
            </w:r>
            <w:r>
              <w:rPr>
                <w:b/>
                <w:color w:val="auto"/>
                <w:sz w:val="24"/>
                <w:szCs w:val="24"/>
              </w:rPr>
              <w:t>m</w:t>
            </w:r>
            <w:r>
              <w:rPr>
                <w:b/>
                <w:color w:val="auto"/>
                <w:sz w:val="24"/>
                <w:szCs w:val="24"/>
                <w:vertAlign w:val="superscript"/>
              </w:rPr>
              <w:t>2</w:t>
            </w:r>
            <w:r>
              <w:rPr>
                <w:rFonts w:hint="eastAsia"/>
                <w:b/>
                <w:color w:val="auto"/>
                <w:sz w:val="24"/>
                <w:szCs w:val="24"/>
              </w:rPr>
              <w:t>）</w:t>
            </w:r>
          </w:p>
        </w:tc>
        <w:tc>
          <w:tcPr>
            <w:tcW w:w="3556" w:type="dxa"/>
            <w:gridSpan w:val="4"/>
            <w:vAlign w:val="center"/>
          </w:tcPr>
          <w:p>
            <w:pPr>
              <w:jc w:val="center"/>
              <w:rPr>
                <w:bCs/>
                <w:color w:val="auto"/>
                <w:sz w:val="24"/>
                <w:szCs w:val="24"/>
              </w:rPr>
            </w:pPr>
            <w:r>
              <w:rPr>
                <w:bCs/>
                <w:color w:val="auto"/>
                <w:sz w:val="24"/>
                <w:szCs w:val="24"/>
              </w:rPr>
              <w:t>18866.8</w:t>
            </w:r>
          </w:p>
        </w:tc>
        <w:tc>
          <w:tcPr>
            <w:tcW w:w="1331" w:type="dxa"/>
            <w:gridSpan w:val="2"/>
            <w:vAlign w:val="center"/>
          </w:tcPr>
          <w:p>
            <w:pPr>
              <w:jc w:val="center"/>
              <w:rPr>
                <w:b/>
                <w:color w:val="auto"/>
                <w:sz w:val="24"/>
                <w:szCs w:val="24"/>
              </w:rPr>
            </w:pPr>
            <w:r>
              <w:rPr>
                <w:rFonts w:hint="eastAsia"/>
                <w:b/>
                <w:color w:val="auto"/>
                <w:sz w:val="24"/>
                <w:szCs w:val="24"/>
              </w:rPr>
              <w:t>绿化面积</w:t>
            </w:r>
          </w:p>
          <w:p>
            <w:pPr>
              <w:jc w:val="center"/>
              <w:rPr>
                <w:b/>
                <w:color w:val="auto"/>
                <w:sz w:val="24"/>
                <w:szCs w:val="24"/>
              </w:rPr>
            </w:pPr>
            <w:r>
              <w:rPr>
                <w:b/>
                <w:color w:val="auto"/>
                <w:sz w:val="24"/>
                <w:szCs w:val="24"/>
              </w:rPr>
              <w:t>(</w:t>
            </w:r>
            <w:r>
              <w:rPr>
                <w:rFonts w:hint="eastAsia"/>
                <w:b/>
                <w:color w:val="auto"/>
                <w:sz w:val="24"/>
                <w:szCs w:val="24"/>
              </w:rPr>
              <w:t>平方米</w:t>
            </w:r>
            <w:r>
              <w:rPr>
                <w:b/>
                <w:color w:val="auto"/>
                <w:sz w:val="24"/>
                <w:szCs w:val="24"/>
              </w:rPr>
              <w:t>)</w:t>
            </w:r>
          </w:p>
        </w:tc>
        <w:tc>
          <w:tcPr>
            <w:tcW w:w="2726" w:type="dxa"/>
            <w:gridSpan w:val="3"/>
            <w:vAlign w:val="center"/>
          </w:tcPr>
          <w:p>
            <w:pPr>
              <w:widowControl/>
              <w:jc w:val="center"/>
              <w:rPr>
                <w:color w:val="auto"/>
                <w:sz w:val="24"/>
                <w:szCs w:val="24"/>
              </w:rPr>
            </w:pPr>
            <w:r>
              <w:rPr>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9" w:hRule="atLeast"/>
          <w:jc w:val="center"/>
        </w:trPr>
        <w:tc>
          <w:tcPr>
            <w:tcW w:w="1731" w:type="dxa"/>
            <w:vAlign w:val="center"/>
          </w:tcPr>
          <w:p>
            <w:pPr>
              <w:ind w:firstLine="361" w:firstLineChars="150"/>
              <w:rPr>
                <w:b/>
                <w:color w:val="auto"/>
                <w:sz w:val="24"/>
                <w:szCs w:val="24"/>
              </w:rPr>
            </w:pPr>
            <w:r>
              <w:rPr>
                <w:rFonts w:hint="eastAsia"/>
                <w:b/>
                <w:color w:val="auto"/>
                <w:sz w:val="24"/>
                <w:szCs w:val="24"/>
              </w:rPr>
              <w:t>总投资</w:t>
            </w:r>
          </w:p>
          <w:p>
            <w:pPr>
              <w:ind w:firstLine="241" w:firstLineChars="100"/>
              <w:rPr>
                <w:b/>
                <w:color w:val="auto"/>
                <w:sz w:val="24"/>
                <w:szCs w:val="24"/>
              </w:rPr>
            </w:pPr>
            <w:r>
              <w:rPr>
                <w:rFonts w:hint="eastAsia"/>
                <w:b/>
                <w:color w:val="auto"/>
                <w:sz w:val="24"/>
                <w:szCs w:val="24"/>
              </w:rPr>
              <w:t>（万元）</w:t>
            </w:r>
          </w:p>
        </w:tc>
        <w:tc>
          <w:tcPr>
            <w:tcW w:w="2274" w:type="dxa"/>
            <w:vAlign w:val="center"/>
          </w:tcPr>
          <w:p>
            <w:pPr>
              <w:jc w:val="center"/>
              <w:rPr>
                <w:color w:val="auto"/>
                <w:sz w:val="24"/>
                <w:szCs w:val="24"/>
              </w:rPr>
            </w:pPr>
            <w:r>
              <w:rPr>
                <w:color w:val="auto"/>
                <w:sz w:val="24"/>
                <w:szCs w:val="24"/>
              </w:rPr>
              <w:t>42471</w:t>
            </w:r>
          </w:p>
        </w:tc>
        <w:tc>
          <w:tcPr>
            <w:tcW w:w="1481" w:type="dxa"/>
            <w:gridSpan w:val="4"/>
            <w:vAlign w:val="center"/>
          </w:tcPr>
          <w:p>
            <w:pPr>
              <w:jc w:val="center"/>
              <w:rPr>
                <w:color w:val="auto"/>
                <w:sz w:val="24"/>
                <w:szCs w:val="24"/>
              </w:rPr>
            </w:pPr>
            <w:r>
              <w:rPr>
                <w:rFonts w:hint="eastAsia"/>
                <w:b/>
                <w:color w:val="auto"/>
                <w:sz w:val="24"/>
                <w:szCs w:val="24"/>
              </w:rPr>
              <w:t>其中：环保投资（万元）</w:t>
            </w:r>
          </w:p>
        </w:tc>
        <w:tc>
          <w:tcPr>
            <w:tcW w:w="1132" w:type="dxa"/>
            <w:vAlign w:val="center"/>
          </w:tcPr>
          <w:p>
            <w:pPr>
              <w:jc w:val="center"/>
              <w:rPr>
                <w:color w:val="auto"/>
                <w:sz w:val="24"/>
                <w:szCs w:val="24"/>
              </w:rPr>
            </w:pPr>
            <w:r>
              <w:rPr>
                <w:rFonts w:hint="eastAsia"/>
                <w:color w:val="auto"/>
                <w:sz w:val="24"/>
                <w:szCs w:val="24"/>
              </w:rPr>
              <w:t>240</w:t>
            </w:r>
          </w:p>
        </w:tc>
        <w:tc>
          <w:tcPr>
            <w:tcW w:w="1570" w:type="dxa"/>
            <w:gridSpan w:val="2"/>
            <w:vAlign w:val="center"/>
          </w:tcPr>
          <w:p>
            <w:pPr>
              <w:jc w:val="center"/>
              <w:rPr>
                <w:b/>
                <w:color w:val="auto"/>
                <w:sz w:val="24"/>
                <w:szCs w:val="24"/>
              </w:rPr>
            </w:pPr>
            <w:r>
              <w:rPr>
                <w:rFonts w:hint="eastAsia"/>
                <w:b/>
                <w:color w:val="auto"/>
                <w:sz w:val="24"/>
                <w:szCs w:val="24"/>
              </w:rPr>
              <w:t>环保投资占总投资比例</w:t>
            </w:r>
          </w:p>
        </w:tc>
        <w:tc>
          <w:tcPr>
            <w:tcW w:w="1156" w:type="dxa"/>
            <w:vAlign w:val="center"/>
          </w:tcPr>
          <w:p>
            <w:pPr>
              <w:jc w:val="center"/>
              <w:rPr>
                <w:color w:val="auto"/>
                <w:sz w:val="24"/>
                <w:szCs w:val="24"/>
              </w:rPr>
            </w:pPr>
            <w:r>
              <w:rPr>
                <w:color w:val="auto"/>
                <w:sz w:val="24"/>
                <w:szCs w:val="24"/>
              </w:rPr>
              <w:t>0.</w:t>
            </w:r>
            <w:r>
              <w:rPr>
                <w:rFonts w:hint="eastAsia"/>
                <w:color w:val="auto"/>
                <w:sz w:val="24"/>
                <w:szCs w:val="24"/>
              </w:rPr>
              <w:t>57</w:t>
            </w:r>
            <w:r>
              <w:rPr>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0" w:hRule="atLeast"/>
          <w:jc w:val="center"/>
        </w:trPr>
        <w:tc>
          <w:tcPr>
            <w:tcW w:w="1731" w:type="dxa"/>
            <w:vAlign w:val="center"/>
          </w:tcPr>
          <w:p>
            <w:pPr>
              <w:jc w:val="center"/>
              <w:rPr>
                <w:b/>
                <w:color w:val="auto"/>
                <w:sz w:val="24"/>
                <w:szCs w:val="24"/>
              </w:rPr>
            </w:pPr>
            <w:r>
              <w:rPr>
                <w:rFonts w:hint="eastAsia"/>
                <w:b/>
                <w:color w:val="auto"/>
                <w:sz w:val="24"/>
                <w:szCs w:val="24"/>
              </w:rPr>
              <w:t>评价经费</w:t>
            </w:r>
          </w:p>
          <w:p>
            <w:pPr>
              <w:jc w:val="center"/>
              <w:rPr>
                <w:b/>
                <w:color w:val="auto"/>
                <w:sz w:val="24"/>
                <w:szCs w:val="24"/>
              </w:rPr>
            </w:pPr>
            <w:r>
              <w:rPr>
                <w:rFonts w:hint="eastAsia"/>
                <w:b/>
                <w:color w:val="auto"/>
                <w:sz w:val="24"/>
                <w:szCs w:val="24"/>
              </w:rPr>
              <w:t>（万元）</w:t>
            </w:r>
          </w:p>
        </w:tc>
        <w:tc>
          <w:tcPr>
            <w:tcW w:w="2274" w:type="dxa"/>
            <w:vAlign w:val="center"/>
          </w:tcPr>
          <w:p>
            <w:pPr>
              <w:jc w:val="center"/>
              <w:rPr>
                <w:color w:val="auto"/>
                <w:sz w:val="24"/>
                <w:szCs w:val="24"/>
              </w:rPr>
            </w:pPr>
          </w:p>
        </w:tc>
        <w:tc>
          <w:tcPr>
            <w:tcW w:w="1481" w:type="dxa"/>
            <w:gridSpan w:val="4"/>
            <w:vAlign w:val="center"/>
          </w:tcPr>
          <w:p>
            <w:pPr>
              <w:jc w:val="center"/>
              <w:rPr>
                <w:color w:val="auto"/>
                <w:sz w:val="24"/>
                <w:szCs w:val="24"/>
              </w:rPr>
            </w:pPr>
            <w:r>
              <w:rPr>
                <w:rFonts w:hint="eastAsia"/>
                <w:color w:val="auto"/>
                <w:sz w:val="24"/>
                <w:szCs w:val="24"/>
              </w:rPr>
              <w:t>预期投产日期</w:t>
            </w:r>
          </w:p>
        </w:tc>
        <w:tc>
          <w:tcPr>
            <w:tcW w:w="3858" w:type="dxa"/>
            <w:gridSpan w:val="4"/>
            <w:vAlign w:val="center"/>
          </w:tcPr>
          <w:p>
            <w:pPr>
              <w:jc w:val="center"/>
              <w:rPr>
                <w:color w:val="auto"/>
                <w:sz w:val="24"/>
                <w:szCs w:val="24"/>
              </w:rPr>
            </w:pPr>
            <w:r>
              <w:rPr>
                <w:color w:val="auto"/>
                <w:sz w:val="24"/>
                <w:szCs w:val="24"/>
              </w:rPr>
              <w:t>2021.6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5" w:hRule="atLeast"/>
          <w:jc w:val="center"/>
        </w:trPr>
        <w:tc>
          <w:tcPr>
            <w:tcW w:w="9344" w:type="dxa"/>
            <w:gridSpan w:val="10"/>
          </w:tcPr>
          <w:p>
            <w:pPr>
              <w:spacing w:line="360" w:lineRule="auto"/>
              <w:outlineLvl w:val="1"/>
              <w:rPr>
                <w:b/>
                <w:color w:val="auto"/>
                <w:sz w:val="28"/>
                <w:szCs w:val="28"/>
              </w:rPr>
            </w:pPr>
            <w:r>
              <w:rPr>
                <w:b/>
                <w:color w:val="auto"/>
                <w:sz w:val="28"/>
                <w:szCs w:val="28"/>
              </w:rPr>
              <w:t xml:space="preserve">1.1 </w:t>
            </w:r>
            <w:r>
              <w:rPr>
                <w:rFonts w:hint="eastAsia"/>
                <w:b/>
                <w:color w:val="auto"/>
                <w:sz w:val="28"/>
                <w:szCs w:val="28"/>
              </w:rPr>
              <w:t>项目背景及任务来源</w:t>
            </w:r>
          </w:p>
          <w:p>
            <w:pPr>
              <w:autoSpaceDE w:val="0"/>
              <w:autoSpaceDN w:val="0"/>
              <w:adjustRightInd w:val="0"/>
              <w:spacing w:line="360" w:lineRule="auto"/>
              <w:ind w:firstLine="480" w:firstLineChars="200"/>
              <w:jc w:val="left"/>
              <w:rPr>
                <w:iCs/>
                <w:color w:val="auto"/>
                <w:sz w:val="24"/>
                <w:szCs w:val="24"/>
              </w:rPr>
            </w:pPr>
            <w:r>
              <w:rPr>
                <w:rFonts w:hint="eastAsia"/>
                <w:iCs/>
                <w:color w:val="auto"/>
                <w:sz w:val="24"/>
                <w:szCs w:val="24"/>
              </w:rPr>
              <w:t>为贯彻落实国家保障可再生能源消纳要求，满足风电快速发展需要，应对湖南电网日益严峻的风电消纳问题，湖南省对风电加装电池储能设施进行了研究，提出了风电配置储能的技术要求。根据省公司统一部署，国网湖南省电力公司经济与技术研究院</w:t>
            </w:r>
            <w:r>
              <w:rPr>
                <w:iCs/>
                <w:color w:val="auto"/>
                <w:sz w:val="24"/>
                <w:szCs w:val="24"/>
              </w:rPr>
              <w:t>9</w:t>
            </w:r>
            <w:r>
              <w:rPr>
                <w:rFonts w:hint="eastAsia"/>
                <w:iCs/>
                <w:color w:val="auto"/>
                <w:sz w:val="24"/>
                <w:szCs w:val="24"/>
              </w:rPr>
              <w:t>月份开始在全省范围内开展了储能电站规划布点工作并对部分站点进行了初步踏勘，为了提升湘西南地区新能源消纳能力、满足邵阳电网供电需求，提高电网调峰能力，提升电压质量和电网安全稳定水平，推动储能产业发展，结合现场踏勘实际情况，拟在儒林</w:t>
            </w:r>
            <w:r>
              <w:rPr>
                <w:iCs/>
                <w:color w:val="auto"/>
                <w:sz w:val="24"/>
                <w:szCs w:val="24"/>
              </w:rPr>
              <w:t xml:space="preserve">220kV </w:t>
            </w:r>
            <w:r>
              <w:rPr>
                <w:rFonts w:hint="eastAsia"/>
                <w:iCs/>
                <w:color w:val="auto"/>
                <w:sz w:val="24"/>
                <w:szCs w:val="24"/>
              </w:rPr>
              <w:t>变电站站外西侧空地内建设储能电站一座，拟建储能电站规模为</w:t>
            </w:r>
            <w:r>
              <w:rPr>
                <w:iCs/>
                <w:color w:val="auto"/>
                <w:sz w:val="24"/>
                <w:szCs w:val="24"/>
              </w:rPr>
              <w:t>100MW/200MWh</w:t>
            </w:r>
            <w:r>
              <w:rPr>
                <w:rFonts w:hint="eastAsia"/>
                <w:iCs/>
                <w:color w:val="auto"/>
                <w:sz w:val="24"/>
                <w:szCs w:val="24"/>
              </w:rPr>
              <w:t>，围墙内用地面积约</w:t>
            </w:r>
            <w:r>
              <w:rPr>
                <w:iCs/>
                <w:color w:val="auto"/>
                <w:sz w:val="24"/>
                <w:szCs w:val="24"/>
              </w:rPr>
              <w:t>23.8</w:t>
            </w:r>
            <w:r>
              <w:rPr>
                <w:rFonts w:hint="eastAsia"/>
                <w:iCs/>
                <w:color w:val="auto"/>
                <w:sz w:val="24"/>
                <w:szCs w:val="24"/>
              </w:rPr>
              <w:t>亩，总用地面积约</w:t>
            </w:r>
            <w:r>
              <w:rPr>
                <w:iCs/>
                <w:color w:val="auto"/>
                <w:sz w:val="24"/>
                <w:szCs w:val="24"/>
              </w:rPr>
              <w:t>30.7</w:t>
            </w:r>
            <w:r>
              <w:rPr>
                <w:rFonts w:hint="eastAsia"/>
                <w:iCs/>
                <w:color w:val="auto"/>
                <w:sz w:val="24"/>
                <w:szCs w:val="24"/>
              </w:rPr>
              <w:t>亩。</w:t>
            </w:r>
          </w:p>
          <w:p>
            <w:pPr>
              <w:spacing w:line="360" w:lineRule="auto"/>
              <w:ind w:firstLine="480" w:firstLineChars="200"/>
              <w:jc w:val="left"/>
              <w:rPr>
                <w:iCs/>
                <w:color w:val="auto"/>
                <w:szCs w:val="24"/>
              </w:rPr>
            </w:pPr>
            <w:r>
              <w:rPr>
                <w:rFonts w:hint="eastAsia"/>
                <w:iCs/>
                <w:color w:val="auto"/>
                <w:sz w:val="24"/>
                <w:szCs w:val="24"/>
              </w:rPr>
              <w:t>该储能站最高电压等级为</w:t>
            </w:r>
            <w:r>
              <w:rPr>
                <w:iCs/>
                <w:color w:val="auto"/>
                <w:sz w:val="24"/>
                <w:szCs w:val="24"/>
              </w:rPr>
              <w:t>110kV</w:t>
            </w:r>
            <w:r>
              <w:rPr>
                <w:rFonts w:hint="eastAsia"/>
                <w:iCs/>
                <w:color w:val="auto"/>
                <w:sz w:val="24"/>
                <w:szCs w:val="24"/>
              </w:rPr>
              <w:t>，根据《建设项目环境影响评价分类管理名录》（生态环境部</w:t>
            </w:r>
            <w:r>
              <w:rPr>
                <w:iCs/>
                <w:color w:val="auto"/>
                <w:sz w:val="24"/>
                <w:szCs w:val="24"/>
              </w:rPr>
              <w:t xml:space="preserve"> </w:t>
            </w:r>
            <w:r>
              <w:rPr>
                <w:rFonts w:hint="eastAsia"/>
                <w:iCs/>
                <w:color w:val="auto"/>
                <w:sz w:val="24"/>
                <w:szCs w:val="24"/>
              </w:rPr>
              <w:t>部令第</w:t>
            </w:r>
            <w:r>
              <w:rPr>
                <w:iCs/>
                <w:color w:val="auto"/>
                <w:sz w:val="24"/>
                <w:szCs w:val="24"/>
              </w:rPr>
              <w:t>1</w:t>
            </w:r>
            <w:r>
              <w:rPr>
                <w:rFonts w:hint="eastAsia"/>
                <w:iCs/>
                <w:color w:val="auto"/>
                <w:sz w:val="24"/>
                <w:szCs w:val="24"/>
              </w:rPr>
              <w:t>号）规定，</w:t>
            </w:r>
            <w:r>
              <w:rPr>
                <w:iCs/>
                <w:color w:val="auto"/>
                <w:sz w:val="24"/>
                <w:szCs w:val="24"/>
              </w:rPr>
              <w:t>110kV</w:t>
            </w:r>
            <w:r>
              <w:rPr>
                <w:rFonts w:hint="eastAsia"/>
                <w:iCs/>
                <w:color w:val="auto"/>
                <w:sz w:val="24"/>
                <w:szCs w:val="24"/>
              </w:rPr>
              <w:t>输变电工程需做环境影响报告表。城步善能新能源有限责任公司委托核工业二三〇研究所对“城步儒林电池储能站工程”进行环境影响评价。核工业二三〇研究所接受委托后于</w:t>
            </w:r>
            <w:r>
              <w:rPr>
                <w:iCs/>
                <w:color w:val="auto"/>
                <w:sz w:val="24"/>
                <w:szCs w:val="24"/>
              </w:rPr>
              <w:t>2020</w:t>
            </w:r>
            <w:r>
              <w:rPr>
                <w:rFonts w:hint="eastAsia"/>
                <w:iCs/>
                <w:color w:val="auto"/>
                <w:sz w:val="24"/>
                <w:szCs w:val="24"/>
              </w:rPr>
              <w:t>年</w:t>
            </w:r>
            <w:r>
              <w:rPr>
                <w:iCs/>
                <w:color w:val="auto"/>
                <w:sz w:val="24"/>
                <w:szCs w:val="24"/>
              </w:rPr>
              <w:t>11</w:t>
            </w:r>
            <w:r>
              <w:rPr>
                <w:rFonts w:hint="eastAsia"/>
                <w:iCs/>
                <w:color w:val="auto"/>
                <w:sz w:val="24"/>
                <w:szCs w:val="24"/>
              </w:rPr>
              <w:t>月进行了现场踏勘、监测和收集资料等工作，经充分论证后编写该变电站项目环境影响报告表。</w:t>
            </w:r>
          </w:p>
          <w:p>
            <w:pPr>
              <w:spacing w:line="360" w:lineRule="auto"/>
              <w:outlineLvl w:val="1"/>
              <w:rPr>
                <w:iCs/>
                <w:color w:val="auto"/>
                <w:sz w:val="24"/>
              </w:rPr>
            </w:pPr>
            <w:bookmarkStart w:id="2" w:name="_Toc331495817"/>
            <w:bookmarkStart w:id="3" w:name="_Toc314157294"/>
            <w:bookmarkStart w:id="4" w:name="_Toc417160924"/>
            <w:bookmarkStart w:id="5" w:name="_Toc303151580"/>
            <w:r>
              <w:rPr>
                <w:b/>
                <w:color w:val="auto"/>
                <w:sz w:val="28"/>
                <w:szCs w:val="28"/>
              </w:rPr>
              <w:t xml:space="preserve">1.2 </w:t>
            </w:r>
            <w:bookmarkEnd w:id="2"/>
            <w:bookmarkEnd w:id="3"/>
            <w:bookmarkEnd w:id="4"/>
            <w:bookmarkEnd w:id="5"/>
            <w:r>
              <w:rPr>
                <w:rFonts w:hint="eastAsia"/>
                <w:b/>
                <w:color w:val="auto"/>
                <w:sz w:val="28"/>
                <w:szCs w:val="28"/>
              </w:rPr>
              <w:t>工程概况</w:t>
            </w:r>
          </w:p>
          <w:p>
            <w:pPr>
              <w:spacing w:line="360" w:lineRule="auto"/>
              <w:rPr>
                <w:b/>
                <w:bCs/>
                <w:iCs/>
                <w:color w:val="auto"/>
                <w:sz w:val="24"/>
              </w:rPr>
            </w:pPr>
            <w:r>
              <w:rPr>
                <w:b/>
                <w:bCs/>
                <w:iCs/>
                <w:color w:val="auto"/>
                <w:sz w:val="24"/>
              </w:rPr>
              <w:t xml:space="preserve">1.2.1 </w:t>
            </w:r>
            <w:r>
              <w:rPr>
                <w:rFonts w:hint="eastAsia"/>
                <w:b/>
                <w:bCs/>
                <w:iCs/>
                <w:color w:val="auto"/>
                <w:sz w:val="24"/>
              </w:rPr>
              <w:t>建设规模与内容</w:t>
            </w:r>
          </w:p>
          <w:p>
            <w:pPr>
              <w:spacing w:line="360" w:lineRule="auto"/>
              <w:ind w:firstLine="600" w:firstLineChars="250"/>
              <w:rPr>
                <w:iCs/>
                <w:color w:val="auto"/>
                <w:sz w:val="24"/>
                <w:szCs w:val="24"/>
              </w:rPr>
            </w:pPr>
            <w:r>
              <w:rPr>
                <w:rFonts w:hint="eastAsia"/>
                <w:iCs/>
                <w:color w:val="auto"/>
                <w:sz w:val="24"/>
                <w:szCs w:val="24"/>
              </w:rPr>
              <w:t>根据</w:t>
            </w:r>
            <w:r>
              <w:rPr>
                <w:rFonts w:hint="eastAsia"/>
                <w:color w:val="auto"/>
                <w:sz w:val="24"/>
                <w:szCs w:val="24"/>
              </w:rPr>
              <w:t>湖南经研电力设计有限公司</w:t>
            </w:r>
            <w:r>
              <w:rPr>
                <w:rFonts w:hint="eastAsia"/>
                <w:iCs/>
                <w:color w:val="auto"/>
                <w:sz w:val="24"/>
                <w:szCs w:val="24"/>
              </w:rPr>
              <w:t>编制的《城步儒林</w:t>
            </w:r>
            <w:r>
              <w:rPr>
                <w:iCs/>
                <w:color w:val="auto"/>
                <w:sz w:val="24"/>
                <w:szCs w:val="24"/>
              </w:rPr>
              <w:t>100MW/200MWh</w:t>
            </w:r>
            <w:r>
              <w:rPr>
                <w:rFonts w:hint="eastAsia"/>
                <w:iCs/>
                <w:color w:val="auto"/>
                <w:sz w:val="24"/>
                <w:szCs w:val="24"/>
              </w:rPr>
              <w:t>电池储能电站新建工程可行性研究报告》，本工程设计建设</w:t>
            </w:r>
            <w:r>
              <w:rPr>
                <w:iCs/>
                <w:color w:val="auto"/>
                <w:sz w:val="24"/>
                <w:szCs w:val="24"/>
              </w:rPr>
              <w:t xml:space="preserve">100MW/200MWh </w:t>
            </w:r>
            <w:r>
              <w:rPr>
                <w:rFonts w:hint="eastAsia"/>
                <w:iCs/>
                <w:color w:val="auto"/>
                <w:sz w:val="24"/>
                <w:szCs w:val="24"/>
              </w:rPr>
              <w:t>储能电站一座（含</w:t>
            </w:r>
            <w:r>
              <w:rPr>
                <w:iCs/>
                <w:color w:val="auto"/>
                <w:sz w:val="24"/>
                <w:szCs w:val="24"/>
              </w:rPr>
              <w:t xml:space="preserve">1 </w:t>
            </w:r>
            <w:r>
              <w:rPr>
                <w:rFonts w:hint="eastAsia"/>
                <w:iCs/>
                <w:color w:val="auto"/>
                <w:sz w:val="24"/>
                <w:szCs w:val="24"/>
              </w:rPr>
              <w:t>座</w:t>
            </w:r>
            <w:r>
              <w:rPr>
                <w:iCs/>
                <w:color w:val="auto"/>
                <w:sz w:val="24"/>
                <w:szCs w:val="24"/>
              </w:rPr>
              <w:t xml:space="preserve">110kV </w:t>
            </w:r>
            <w:r>
              <w:rPr>
                <w:rFonts w:hint="eastAsia"/>
                <w:iCs/>
                <w:color w:val="auto"/>
                <w:sz w:val="24"/>
                <w:szCs w:val="24"/>
              </w:rPr>
              <w:t>升压变电站），主要包括储能系统、电气系统、采暖通风、给排水等。选址站址内用地现状为荒草地和林地，站区内共设置</w:t>
            </w:r>
            <w:r>
              <w:rPr>
                <w:iCs/>
                <w:color w:val="auto"/>
                <w:sz w:val="24"/>
                <w:szCs w:val="24"/>
              </w:rPr>
              <w:t>80</w:t>
            </w:r>
            <w:r>
              <w:rPr>
                <w:rFonts w:hint="eastAsia"/>
                <w:iCs/>
                <w:color w:val="auto"/>
                <w:sz w:val="24"/>
                <w:szCs w:val="24"/>
              </w:rPr>
              <w:t>个</w:t>
            </w:r>
            <w:r>
              <w:rPr>
                <w:iCs/>
                <w:color w:val="auto"/>
                <w:sz w:val="24"/>
                <w:szCs w:val="24"/>
              </w:rPr>
              <w:t>1.25MW/2.5MWh</w:t>
            </w:r>
            <w:r>
              <w:rPr>
                <w:rFonts w:hint="eastAsia"/>
                <w:iCs/>
                <w:color w:val="auto"/>
                <w:sz w:val="24"/>
                <w:szCs w:val="24"/>
              </w:rPr>
              <w:t>集装箱式电池舱，</w:t>
            </w:r>
            <w:r>
              <w:rPr>
                <w:iCs/>
                <w:color w:val="auto"/>
                <w:sz w:val="24"/>
                <w:szCs w:val="24"/>
              </w:rPr>
              <w:t>40</w:t>
            </w:r>
            <w:r>
              <w:rPr>
                <w:rFonts w:hint="eastAsia"/>
                <w:iCs/>
                <w:color w:val="auto"/>
                <w:sz w:val="24"/>
                <w:szCs w:val="24"/>
              </w:rPr>
              <w:t>个</w:t>
            </w:r>
            <w:r>
              <w:rPr>
                <w:iCs/>
                <w:color w:val="auto"/>
                <w:sz w:val="24"/>
                <w:szCs w:val="24"/>
              </w:rPr>
              <w:t xml:space="preserve">PCS </w:t>
            </w:r>
            <w:r>
              <w:rPr>
                <w:rFonts w:hint="eastAsia"/>
                <w:iCs/>
                <w:color w:val="auto"/>
                <w:sz w:val="24"/>
                <w:szCs w:val="24"/>
              </w:rPr>
              <w:t>交直流转换一体舱，分三列布置；站址南侧设置</w:t>
            </w:r>
            <w:r>
              <w:rPr>
                <w:iCs/>
                <w:color w:val="auto"/>
                <w:sz w:val="24"/>
                <w:szCs w:val="24"/>
              </w:rPr>
              <w:t>110kV</w:t>
            </w:r>
            <w:r>
              <w:rPr>
                <w:rFonts w:hint="eastAsia"/>
                <w:iCs/>
                <w:color w:val="auto"/>
                <w:sz w:val="24"/>
                <w:szCs w:val="24"/>
              </w:rPr>
              <w:t>升压变电站一座，储能电池舱经</w:t>
            </w:r>
            <w:r>
              <w:rPr>
                <w:iCs/>
                <w:color w:val="auto"/>
                <w:sz w:val="24"/>
                <w:szCs w:val="24"/>
              </w:rPr>
              <w:t>PCS</w:t>
            </w:r>
            <w:r>
              <w:rPr>
                <w:rFonts w:hint="eastAsia"/>
                <w:iCs/>
                <w:color w:val="auto"/>
                <w:sz w:val="24"/>
                <w:szCs w:val="24"/>
              </w:rPr>
              <w:t>交直流转换舱逆变升压后接入升压变电站</w:t>
            </w:r>
            <w:r>
              <w:rPr>
                <w:iCs/>
                <w:color w:val="auto"/>
                <w:sz w:val="24"/>
                <w:szCs w:val="24"/>
              </w:rPr>
              <w:t>10kV</w:t>
            </w:r>
            <w:r>
              <w:rPr>
                <w:rFonts w:hint="eastAsia"/>
                <w:iCs/>
                <w:color w:val="auto"/>
                <w:sz w:val="24"/>
                <w:szCs w:val="24"/>
              </w:rPr>
              <w:t>母线，</w:t>
            </w:r>
            <w:r>
              <w:rPr>
                <w:iCs/>
                <w:color w:val="auto"/>
                <w:sz w:val="24"/>
                <w:szCs w:val="24"/>
              </w:rPr>
              <w:t>10kV</w:t>
            </w:r>
            <w:r>
              <w:rPr>
                <w:rFonts w:hint="eastAsia"/>
                <w:iCs/>
                <w:color w:val="auto"/>
                <w:sz w:val="24"/>
                <w:szCs w:val="24"/>
              </w:rPr>
              <w:t>母线汇流后通过</w:t>
            </w:r>
            <w:r>
              <w:rPr>
                <w:iCs/>
                <w:color w:val="auto"/>
                <w:sz w:val="24"/>
                <w:szCs w:val="24"/>
              </w:rPr>
              <w:t>110kV</w:t>
            </w:r>
            <w:r>
              <w:rPr>
                <w:rFonts w:hint="eastAsia"/>
                <w:iCs/>
                <w:color w:val="auto"/>
                <w:sz w:val="24"/>
                <w:szCs w:val="24"/>
              </w:rPr>
              <w:t>变压器升压后通过</w:t>
            </w:r>
            <w:r>
              <w:rPr>
                <w:iCs/>
                <w:color w:val="auto"/>
                <w:sz w:val="24"/>
                <w:szCs w:val="24"/>
              </w:rPr>
              <w:t>1</w:t>
            </w:r>
            <w:r>
              <w:rPr>
                <w:rFonts w:hint="eastAsia"/>
                <w:iCs/>
                <w:color w:val="auto"/>
                <w:sz w:val="24"/>
                <w:szCs w:val="24"/>
              </w:rPr>
              <w:t>回</w:t>
            </w:r>
            <w:r>
              <w:rPr>
                <w:iCs/>
                <w:color w:val="auto"/>
                <w:sz w:val="24"/>
                <w:szCs w:val="24"/>
              </w:rPr>
              <w:t>110kV</w:t>
            </w:r>
            <w:r>
              <w:rPr>
                <w:rFonts w:hint="eastAsia"/>
                <w:iCs/>
                <w:color w:val="auto"/>
                <w:sz w:val="24"/>
                <w:szCs w:val="24"/>
              </w:rPr>
              <w:t>线路就近接入儒林</w:t>
            </w:r>
            <w:r>
              <w:rPr>
                <w:iCs/>
                <w:color w:val="auto"/>
                <w:sz w:val="24"/>
                <w:szCs w:val="24"/>
              </w:rPr>
              <w:t>220kV</w:t>
            </w:r>
            <w:r>
              <w:rPr>
                <w:rFonts w:hint="eastAsia"/>
                <w:iCs/>
                <w:color w:val="auto"/>
                <w:sz w:val="24"/>
                <w:szCs w:val="24"/>
              </w:rPr>
              <w:t>变电站</w:t>
            </w:r>
            <w:r>
              <w:rPr>
                <w:iCs/>
                <w:color w:val="auto"/>
                <w:sz w:val="24"/>
                <w:szCs w:val="24"/>
              </w:rPr>
              <w:t>110kV</w:t>
            </w:r>
            <w:r>
              <w:rPr>
                <w:rFonts w:hint="eastAsia"/>
                <w:iCs/>
                <w:color w:val="auto"/>
                <w:sz w:val="24"/>
                <w:szCs w:val="24"/>
              </w:rPr>
              <w:t>母线上。储能电站为无人值班站，由湖南省调和邵阳地调监控中心实现，远方监视和控制储能电站构建全站基于</w:t>
            </w:r>
            <w:r>
              <w:rPr>
                <w:iCs/>
                <w:color w:val="auto"/>
                <w:sz w:val="24"/>
                <w:szCs w:val="24"/>
              </w:rPr>
              <w:t>DL/T860</w:t>
            </w:r>
            <w:r>
              <w:rPr>
                <w:rFonts w:hint="eastAsia"/>
                <w:iCs/>
                <w:color w:val="auto"/>
                <w:sz w:val="24"/>
                <w:szCs w:val="24"/>
              </w:rPr>
              <w:t>标准的自动化系统。</w:t>
            </w:r>
          </w:p>
          <w:p>
            <w:pPr>
              <w:autoSpaceDE w:val="0"/>
              <w:autoSpaceDN w:val="0"/>
              <w:adjustRightInd w:val="0"/>
              <w:spacing w:line="360" w:lineRule="auto"/>
              <w:ind w:firstLine="480" w:firstLineChars="200"/>
              <w:jc w:val="left"/>
              <w:rPr>
                <w:iCs/>
                <w:color w:val="auto"/>
                <w:sz w:val="24"/>
              </w:rPr>
            </w:pPr>
            <w:r>
              <w:rPr>
                <w:rFonts w:hint="eastAsia"/>
                <w:iCs/>
                <w:color w:val="auto"/>
                <w:sz w:val="24"/>
                <w:szCs w:val="24"/>
              </w:rPr>
              <w:t>储能电站考虑接入儒林</w:t>
            </w:r>
            <w:r>
              <w:rPr>
                <w:iCs/>
                <w:color w:val="auto"/>
                <w:sz w:val="24"/>
                <w:szCs w:val="24"/>
              </w:rPr>
              <w:t>220kV</w:t>
            </w:r>
            <w:r>
              <w:rPr>
                <w:rFonts w:hint="eastAsia"/>
                <w:iCs/>
                <w:color w:val="auto"/>
                <w:sz w:val="24"/>
                <w:szCs w:val="24"/>
              </w:rPr>
              <w:t>变电站，接入系统方案为：储能电站本期以</w:t>
            </w:r>
            <w:r>
              <w:rPr>
                <w:iCs/>
                <w:color w:val="auto"/>
                <w:sz w:val="24"/>
                <w:szCs w:val="24"/>
              </w:rPr>
              <w:t xml:space="preserve">1 </w:t>
            </w:r>
            <w:r>
              <w:rPr>
                <w:rFonts w:hint="eastAsia"/>
                <w:iCs/>
                <w:color w:val="auto"/>
                <w:sz w:val="24"/>
                <w:szCs w:val="24"/>
              </w:rPr>
              <w:t>回</w:t>
            </w:r>
            <w:r>
              <w:rPr>
                <w:iCs/>
                <w:color w:val="auto"/>
                <w:sz w:val="24"/>
                <w:szCs w:val="24"/>
              </w:rPr>
              <w:t>110kV</w:t>
            </w:r>
            <w:r>
              <w:rPr>
                <w:rFonts w:hint="eastAsia"/>
                <w:iCs/>
                <w:color w:val="auto"/>
                <w:sz w:val="24"/>
                <w:szCs w:val="24"/>
              </w:rPr>
              <w:t>架空线路接入儒林变</w:t>
            </w:r>
            <w:r>
              <w:rPr>
                <w:iCs/>
                <w:color w:val="auto"/>
                <w:sz w:val="24"/>
                <w:szCs w:val="24"/>
              </w:rPr>
              <w:t>110kV</w:t>
            </w:r>
            <w:r>
              <w:rPr>
                <w:rFonts w:hint="eastAsia"/>
                <w:iCs/>
                <w:color w:val="auto"/>
                <w:sz w:val="24"/>
                <w:szCs w:val="24"/>
              </w:rPr>
              <w:t>母线，路径线路长度约为</w:t>
            </w:r>
            <w:r>
              <w:rPr>
                <w:iCs/>
                <w:color w:val="auto"/>
                <w:sz w:val="24"/>
                <w:szCs w:val="24"/>
              </w:rPr>
              <w:t>0.2km</w:t>
            </w:r>
            <w:r>
              <w:rPr>
                <w:rFonts w:hint="eastAsia"/>
                <w:iCs/>
                <w:color w:val="auto"/>
                <w:sz w:val="24"/>
                <w:szCs w:val="24"/>
              </w:rPr>
              <w:t>。本期需在儒林</w:t>
            </w:r>
            <w:r>
              <w:rPr>
                <w:iCs/>
                <w:color w:val="auto"/>
                <w:sz w:val="24"/>
                <w:szCs w:val="24"/>
              </w:rPr>
              <w:t>220kV</w:t>
            </w:r>
            <w:r>
              <w:rPr>
                <w:rFonts w:hint="eastAsia"/>
                <w:iCs/>
                <w:color w:val="auto"/>
                <w:sz w:val="24"/>
                <w:szCs w:val="24"/>
              </w:rPr>
              <w:t>变电站内扩建一个</w:t>
            </w:r>
            <w:r>
              <w:rPr>
                <w:iCs/>
                <w:color w:val="auto"/>
                <w:sz w:val="24"/>
                <w:szCs w:val="24"/>
              </w:rPr>
              <w:t>110kV</w:t>
            </w:r>
            <w:r>
              <w:rPr>
                <w:rFonts w:hint="eastAsia"/>
                <w:iCs/>
                <w:color w:val="auto"/>
                <w:sz w:val="24"/>
                <w:szCs w:val="24"/>
              </w:rPr>
              <w:t>出线间隔至</w:t>
            </w:r>
            <w:r>
              <w:rPr>
                <w:iCs/>
                <w:color w:val="auto"/>
                <w:sz w:val="24"/>
                <w:szCs w:val="24"/>
              </w:rPr>
              <w:t>100MW/200MWh</w:t>
            </w:r>
            <w:r>
              <w:rPr>
                <w:rFonts w:hint="eastAsia"/>
                <w:iCs/>
                <w:color w:val="auto"/>
                <w:sz w:val="24"/>
                <w:szCs w:val="24"/>
              </w:rPr>
              <w:t>储能电站。</w:t>
            </w:r>
            <w:r>
              <w:rPr>
                <w:rFonts w:hint="eastAsia"/>
                <w:color w:val="auto"/>
                <w:kern w:val="0"/>
                <w:sz w:val="24"/>
                <w:szCs w:val="24"/>
              </w:rPr>
              <w:t>拟用</w:t>
            </w:r>
            <w:r>
              <w:rPr>
                <w:color w:val="auto"/>
                <w:kern w:val="0"/>
                <w:sz w:val="24"/>
                <w:szCs w:val="24"/>
              </w:rPr>
              <w:t>1Y</w:t>
            </w:r>
            <w:r>
              <w:rPr>
                <w:rFonts w:hint="eastAsia"/>
                <w:color w:val="auto"/>
                <w:kern w:val="0"/>
                <w:sz w:val="24"/>
                <w:szCs w:val="24"/>
              </w:rPr>
              <w:t>备用出线间隔，本期扩建后不影响原站内电气平面布置。</w:t>
            </w:r>
          </w:p>
          <w:p>
            <w:pPr>
              <w:spacing w:line="360" w:lineRule="auto"/>
              <w:ind w:firstLine="600" w:firstLineChars="250"/>
              <w:jc w:val="left"/>
              <w:rPr>
                <w:iCs/>
                <w:color w:val="auto"/>
                <w:sz w:val="24"/>
                <w:szCs w:val="24"/>
              </w:rPr>
            </w:pPr>
            <w:r>
              <w:rPr>
                <w:rFonts w:hint="eastAsia"/>
                <w:iCs/>
                <w:color w:val="auto"/>
                <w:sz w:val="24"/>
              </w:rPr>
              <w:t>本工程建设内容见表</w:t>
            </w:r>
            <w:r>
              <w:rPr>
                <w:iCs/>
                <w:color w:val="auto"/>
                <w:sz w:val="24"/>
              </w:rPr>
              <w:t>1-1</w:t>
            </w:r>
            <w:r>
              <w:rPr>
                <w:rFonts w:hint="eastAsia"/>
                <w:iCs/>
                <w:color w:val="auto"/>
                <w:sz w:val="24"/>
              </w:rPr>
              <w:t>。</w:t>
            </w:r>
          </w:p>
          <w:p>
            <w:pPr>
              <w:pStyle w:val="23"/>
              <w:spacing w:before="0" w:after="0"/>
              <w:ind w:firstLine="422"/>
              <w:jc w:val="center"/>
              <w:rPr>
                <w:rFonts w:ascii="Times New Roman" w:hAnsi="Times New Roman" w:cs="Times New Roman"/>
                <w:b/>
                <w:color w:val="auto"/>
                <w:sz w:val="21"/>
                <w:szCs w:val="21"/>
              </w:rPr>
            </w:pPr>
            <w:bookmarkStart w:id="6" w:name="_Ref35434461"/>
            <w:r>
              <w:rPr>
                <w:rFonts w:hint="eastAsia" w:ascii="Times New Roman" w:hAnsi="Times New Roman" w:cs="Times New Roman" w:eastAsiaTheme="minorEastAsia"/>
                <w:b/>
                <w:color w:val="auto"/>
                <w:sz w:val="21"/>
                <w:szCs w:val="21"/>
              </w:rPr>
              <w:t>表</w:t>
            </w:r>
            <w:bookmarkEnd w:id="6"/>
            <w:r>
              <w:rPr>
                <w:rFonts w:ascii="Times New Roman" w:hAnsi="Times New Roman" w:cs="Times New Roman" w:eastAsiaTheme="minorEastAsia"/>
                <w:b/>
                <w:color w:val="auto"/>
                <w:sz w:val="21"/>
                <w:szCs w:val="21"/>
              </w:rPr>
              <w:t xml:space="preserve">1-1 </w:t>
            </w:r>
            <w:r>
              <w:rPr>
                <w:rFonts w:hint="eastAsia" w:ascii="Times New Roman" w:hAnsi="Times New Roman" w:cs="Times New Roman"/>
                <w:b/>
                <w:color w:val="auto"/>
                <w:sz w:val="21"/>
                <w:szCs w:val="21"/>
              </w:rPr>
              <w:t>儒林</w:t>
            </w:r>
            <w:r>
              <w:rPr>
                <w:rFonts w:ascii="Times New Roman" w:hAnsi="Times New Roman" w:cs="Times New Roman"/>
                <w:b/>
                <w:color w:val="auto"/>
                <w:sz w:val="21"/>
                <w:szCs w:val="21"/>
              </w:rPr>
              <w:t>100MW/200MWh</w:t>
            </w:r>
            <w:r>
              <w:rPr>
                <w:rFonts w:hint="eastAsia" w:ascii="Times New Roman" w:hAnsi="Times New Roman" w:cs="Times New Roman"/>
                <w:b/>
                <w:color w:val="auto"/>
                <w:sz w:val="21"/>
                <w:szCs w:val="21"/>
              </w:rPr>
              <w:t>储能电站项目基本组成</w:t>
            </w:r>
          </w:p>
          <w:tbl>
            <w:tblPr>
              <w:tblStyle w:val="87"/>
              <w:tblW w:w="9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710"/>
              <w:gridCol w:w="835"/>
              <w:gridCol w:w="6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Align w:val="center"/>
                </w:tcPr>
                <w:p>
                  <w:pPr>
                    <w:jc w:val="center"/>
                    <w:rPr>
                      <w:rFonts w:eastAsiaTheme="minorEastAsia"/>
                      <w:color w:val="auto"/>
                      <w:szCs w:val="21"/>
                    </w:rPr>
                  </w:pPr>
                  <w:r>
                    <w:rPr>
                      <w:rFonts w:eastAsiaTheme="minorEastAsia"/>
                      <w:color w:val="auto"/>
                      <w:szCs w:val="21"/>
                    </w:rPr>
                    <w:t>工程名称</w:t>
                  </w:r>
                </w:p>
              </w:tc>
              <w:tc>
                <w:tcPr>
                  <w:tcW w:w="7842" w:type="dxa"/>
                  <w:gridSpan w:val="3"/>
                  <w:vAlign w:val="center"/>
                </w:tcPr>
                <w:p>
                  <w:pPr>
                    <w:jc w:val="center"/>
                    <w:rPr>
                      <w:rFonts w:eastAsiaTheme="minorEastAsia"/>
                      <w:color w:val="auto"/>
                      <w:szCs w:val="21"/>
                    </w:rPr>
                  </w:pPr>
                  <w:r>
                    <w:rPr>
                      <w:rFonts w:eastAsiaTheme="minorEastAsia"/>
                      <w:color w:val="auto"/>
                      <w:szCs w:val="21"/>
                    </w:rPr>
                    <w:t>儒林100MW/200MWh储能电站项目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Align w:val="center"/>
                </w:tcPr>
                <w:p>
                  <w:pPr>
                    <w:jc w:val="center"/>
                    <w:rPr>
                      <w:rFonts w:eastAsiaTheme="minorEastAsia"/>
                      <w:color w:val="auto"/>
                      <w:szCs w:val="21"/>
                    </w:rPr>
                  </w:pPr>
                  <w:r>
                    <w:rPr>
                      <w:rFonts w:eastAsiaTheme="minorEastAsia"/>
                      <w:color w:val="auto"/>
                      <w:szCs w:val="21"/>
                    </w:rPr>
                    <w:t>建设单位</w:t>
                  </w:r>
                </w:p>
              </w:tc>
              <w:tc>
                <w:tcPr>
                  <w:tcW w:w="7842" w:type="dxa"/>
                  <w:gridSpan w:val="3"/>
                  <w:vAlign w:val="center"/>
                </w:tcPr>
                <w:p>
                  <w:pPr>
                    <w:jc w:val="center"/>
                    <w:rPr>
                      <w:rFonts w:eastAsiaTheme="minorEastAsia"/>
                      <w:color w:val="auto"/>
                      <w:szCs w:val="21"/>
                    </w:rPr>
                  </w:pPr>
                  <w:r>
                    <w:rPr>
                      <w:rFonts w:eastAsiaTheme="minorEastAsia"/>
                      <w:color w:val="auto"/>
                      <w:szCs w:val="21"/>
                    </w:rPr>
                    <w:t>城步善能新能源有限责任公司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Align w:val="center"/>
                </w:tcPr>
                <w:p>
                  <w:pPr>
                    <w:jc w:val="center"/>
                    <w:rPr>
                      <w:rFonts w:eastAsiaTheme="minorEastAsia"/>
                      <w:color w:val="auto"/>
                      <w:szCs w:val="21"/>
                    </w:rPr>
                  </w:pPr>
                  <w:r>
                    <w:rPr>
                      <w:rFonts w:eastAsiaTheme="minorEastAsia"/>
                      <w:color w:val="auto"/>
                      <w:szCs w:val="21"/>
                    </w:rPr>
                    <w:t>工程性质</w:t>
                  </w:r>
                </w:p>
              </w:tc>
              <w:tc>
                <w:tcPr>
                  <w:tcW w:w="7842" w:type="dxa"/>
                  <w:gridSpan w:val="3"/>
                  <w:vAlign w:val="center"/>
                </w:tcPr>
                <w:p>
                  <w:pPr>
                    <w:jc w:val="center"/>
                    <w:rPr>
                      <w:rFonts w:eastAsiaTheme="minorEastAsia"/>
                      <w:color w:val="auto"/>
                      <w:szCs w:val="21"/>
                    </w:rPr>
                  </w:pPr>
                  <w:r>
                    <w:rPr>
                      <w:rFonts w:eastAsiaTheme="minor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Align w:val="center"/>
                </w:tcPr>
                <w:p>
                  <w:pPr>
                    <w:jc w:val="center"/>
                    <w:rPr>
                      <w:rFonts w:eastAsiaTheme="minorEastAsia"/>
                      <w:color w:val="auto"/>
                      <w:szCs w:val="21"/>
                    </w:rPr>
                  </w:pPr>
                  <w:r>
                    <w:rPr>
                      <w:rFonts w:eastAsiaTheme="minorEastAsia"/>
                      <w:color w:val="auto"/>
                      <w:szCs w:val="21"/>
                    </w:rPr>
                    <w:t>建设地点</w:t>
                  </w:r>
                </w:p>
              </w:tc>
              <w:tc>
                <w:tcPr>
                  <w:tcW w:w="7842" w:type="dxa"/>
                  <w:gridSpan w:val="3"/>
                  <w:vAlign w:val="center"/>
                </w:tcPr>
                <w:p>
                  <w:pPr>
                    <w:jc w:val="center"/>
                    <w:rPr>
                      <w:rFonts w:eastAsiaTheme="minorEastAsia"/>
                      <w:color w:val="auto"/>
                      <w:szCs w:val="21"/>
                    </w:rPr>
                  </w:pPr>
                  <w:r>
                    <w:rPr>
                      <w:rFonts w:hint="eastAsia" w:eastAsiaTheme="minorEastAsia"/>
                      <w:color w:val="auto"/>
                      <w:szCs w:val="21"/>
                    </w:rPr>
                    <w:t>邵阳市城步苗族自治县儒林</w:t>
                  </w:r>
                  <w:r>
                    <w:rPr>
                      <w:rFonts w:eastAsiaTheme="minorEastAsia"/>
                      <w:color w:val="auto"/>
                      <w:szCs w:val="21"/>
                    </w:rPr>
                    <w:t>220kV</w:t>
                  </w:r>
                  <w:r>
                    <w:rPr>
                      <w:rFonts w:hint="eastAsia" w:eastAsiaTheme="minorEastAsia"/>
                      <w:color w:val="auto"/>
                      <w:szCs w:val="21"/>
                    </w:rPr>
                    <w:t>变电站西侧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jc w:val="center"/>
                    <w:rPr>
                      <w:rFonts w:eastAsiaTheme="minorEastAsia"/>
                      <w:color w:val="auto"/>
                      <w:szCs w:val="21"/>
                    </w:rPr>
                  </w:pPr>
                  <w:r>
                    <w:rPr>
                      <w:rFonts w:eastAsiaTheme="minorEastAsia"/>
                      <w:color w:val="auto"/>
                      <w:szCs w:val="21"/>
                    </w:rPr>
                    <w:t>项目组成</w:t>
                  </w:r>
                </w:p>
              </w:tc>
              <w:tc>
                <w:tcPr>
                  <w:tcW w:w="7842" w:type="dxa"/>
                  <w:gridSpan w:val="3"/>
                  <w:vAlign w:val="center"/>
                </w:tcPr>
                <w:p>
                  <w:pPr>
                    <w:jc w:val="center"/>
                    <w:rPr>
                      <w:rFonts w:eastAsiaTheme="minorEastAsia"/>
                      <w:color w:val="auto"/>
                      <w:szCs w:val="21"/>
                    </w:rPr>
                  </w:pPr>
                  <w:r>
                    <w:rPr>
                      <w:rFonts w:eastAsiaTheme="minorEastAsia"/>
                      <w:color w:val="auto"/>
                      <w:szCs w:val="21"/>
                    </w:rPr>
                    <w:t>城步儒林电池储能站工程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pPr>
                    <w:jc w:val="center"/>
                    <w:rPr>
                      <w:rFonts w:eastAsiaTheme="minorEastAsia"/>
                      <w:color w:val="auto"/>
                      <w:szCs w:val="21"/>
                    </w:rPr>
                  </w:pPr>
                  <w:r>
                    <w:rPr>
                      <w:rFonts w:eastAsiaTheme="minorEastAsia"/>
                      <w:color w:val="auto"/>
                      <w:szCs w:val="21"/>
                    </w:rPr>
                    <w:t>建设内容</w:t>
                  </w:r>
                </w:p>
              </w:tc>
              <w:tc>
                <w:tcPr>
                  <w:tcW w:w="1545" w:type="dxa"/>
                  <w:gridSpan w:val="2"/>
                  <w:vAlign w:val="center"/>
                </w:tcPr>
                <w:p>
                  <w:pPr>
                    <w:jc w:val="center"/>
                    <w:rPr>
                      <w:rFonts w:eastAsiaTheme="minorEastAsia"/>
                      <w:color w:val="auto"/>
                      <w:szCs w:val="21"/>
                    </w:rPr>
                  </w:pPr>
                  <w:r>
                    <w:rPr>
                      <w:rFonts w:eastAsiaTheme="minorEastAsia"/>
                      <w:color w:val="auto"/>
                      <w:szCs w:val="21"/>
                    </w:rPr>
                    <w:t>项目</w:t>
                  </w:r>
                </w:p>
              </w:tc>
              <w:tc>
                <w:tcPr>
                  <w:tcW w:w="6297" w:type="dxa"/>
                  <w:vAlign w:val="center"/>
                </w:tcPr>
                <w:p>
                  <w:pPr>
                    <w:jc w:val="center"/>
                    <w:rPr>
                      <w:rFonts w:eastAsiaTheme="minorEastAsia"/>
                      <w:color w:val="auto"/>
                      <w:szCs w:val="21"/>
                    </w:rPr>
                  </w:pPr>
                  <w:r>
                    <w:rPr>
                      <w:rFonts w:eastAsiaTheme="minorEastAsia"/>
                      <w:color w:val="auto"/>
                      <w:szCs w:val="21"/>
                    </w:rPr>
                    <w:t>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rFonts w:eastAsiaTheme="minorEastAsia"/>
                      <w:color w:val="auto"/>
                      <w:szCs w:val="21"/>
                    </w:rPr>
                  </w:pPr>
                </w:p>
              </w:tc>
              <w:tc>
                <w:tcPr>
                  <w:tcW w:w="1545" w:type="dxa"/>
                  <w:gridSpan w:val="2"/>
                  <w:vMerge w:val="restart"/>
                  <w:vAlign w:val="center"/>
                </w:tcPr>
                <w:p>
                  <w:pPr>
                    <w:jc w:val="center"/>
                    <w:rPr>
                      <w:rFonts w:eastAsiaTheme="minorEastAsia"/>
                      <w:color w:val="auto"/>
                      <w:szCs w:val="21"/>
                    </w:rPr>
                  </w:pPr>
                  <w:r>
                    <w:rPr>
                      <w:rFonts w:eastAsiaTheme="minorEastAsia"/>
                      <w:color w:val="auto"/>
                      <w:szCs w:val="21"/>
                    </w:rPr>
                    <w:t>城步儒林电池储能站工程</w:t>
                  </w:r>
                </w:p>
              </w:tc>
              <w:tc>
                <w:tcPr>
                  <w:tcW w:w="6297" w:type="dxa"/>
                  <w:vAlign w:val="center"/>
                </w:tcPr>
                <w:p>
                  <w:pPr>
                    <w:jc w:val="center"/>
                    <w:rPr>
                      <w:rFonts w:eastAsiaTheme="minorEastAsia"/>
                      <w:color w:val="auto"/>
                      <w:szCs w:val="21"/>
                    </w:rPr>
                  </w:pPr>
                  <w:r>
                    <w:rPr>
                      <w:rFonts w:eastAsiaTheme="minorEastAsia"/>
                      <w:color w:val="auto"/>
                      <w:szCs w:val="21"/>
                    </w:rPr>
                    <w:t>80</w:t>
                  </w:r>
                  <w:r>
                    <w:rPr>
                      <w:rFonts w:hint="eastAsia" w:eastAsiaTheme="minorEastAsia"/>
                      <w:color w:val="auto"/>
                      <w:szCs w:val="21"/>
                    </w:rPr>
                    <w:t>个</w:t>
                  </w:r>
                  <w:r>
                    <w:rPr>
                      <w:rFonts w:eastAsiaTheme="minorEastAsia"/>
                      <w:color w:val="auto"/>
                      <w:szCs w:val="21"/>
                    </w:rPr>
                    <w:t>1.25MW/2.5MWh</w:t>
                  </w:r>
                  <w:r>
                    <w:rPr>
                      <w:rFonts w:hint="eastAsia" w:eastAsiaTheme="minorEastAsia"/>
                      <w:color w:val="auto"/>
                      <w:szCs w:val="21"/>
                    </w:rPr>
                    <w:t>集装箱式电池舱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rFonts w:eastAsiaTheme="minorEastAsia"/>
                      <w:color w:val="auto"/>
                      <w:szCs w:val="21"/>
                    </w:rPr>
                  </w:pPr>
                </w:p>
              </w:tc>
              <w:tc>
                <w:tcPr>
                  <w:tcW w:w="1545" w:type="dxa"/>
                  <w:gridSpan w:val="2"/>
                  <w:vMerge w:val="continue"/>
                  <w:vAlign w:val="center"/>
                </w:tcPr>
                <w:p>
                  <w:pPr>
                    <w:jc w:val="center"/>
                    <w:rPr>
                      <w:rFonts w:eastAsiaTheme="minorEastAsia"/>
                      <w:color w:val="auto"/>
                      <w:szCs w:val="21"/>
                    </w:rPr>
                  </w:pPr>
                </w:p>
              </w:tc>
              <w:tc>
                <w:tcPr>
                  <w:tcW w:w="6297" w:type="dxa"/>
                  <w:vAlign w:val="center"/>
                </w:tcPr>
                <w:p>
                  <w:pPr>
                    <w:jc w:val="center"/>
                    <w:rPr>
                      <w:rFonts w:eastAsiaTheme="minorEastAsia"/>
                      <w:color w:val="auto"/>
                      <w:szCs w:val="21"/>
                    </w:rPr>
                  </w:pPr>
                  <w:r>
                    <w:rPr>
                      <w:rFonts w:hint="eastAsia" w:eastAsiaTheme="minorEastAsia"/>
                      <w:color w:val="auto"/>
                      <w:szCs w:val="21"/>
                    </w:rPr>
                    <w:t>配电楼：单层建筑，</w:t>
                  </w:r>
                  <w:r>
                    <w:rPr>
                      <w:rFonts w:eastAsiaTheme="minorEastAsia"/>
                      <w:color w:val="auto"/>
                      <w:szCs w:val="21"/>
                    </w:rPr>
                    <w:t>43.6mx20.0mx9.5m</w:t>
                  </w:r>
                  <w:r>
                    <w:rPr>
                      <w:rFonts w:hint="eastAsia" w:eastAsiaTheme="minorEastAsia"/>
                      <w:color w:val="auto"/>
                      <w:szCs w:val="21"/>
                    </w:rPr>
                    <w:t>；配电楼总建筑面积为</w:t>
                  </w:r>
                  <w:r>
                    <w:rPr>
                      <w:rFonts w:eastAsiaTheme="minorEastAsia"/>
                      <w:color w:val="auto"/>
                      <w:szCs w:val="21"/>
                    </w:rPr>
                    <w:t>937m</w:t>
                  </w:r>
                  <w:r>
                    <w:rPr>
                      <w:rFonts w:eastAsiaTheme="minorEastAsia"/>
                      <w:color w:val="auto"/>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rFonts w:eastAsiaTheme="minorEastAsia"/>
                      <w:color w:val="auto"/>
                      <w:szCs w:val="21"/>
                    </w:rPr>
                  </w:pPr>
                </w:p>
              </w:tc>
              <w:tc>
                <w:tcPr>
                  <w:tcW w:w="1545" w:type="dxa"/>
                  <w:gridSpan w:val="2"/>
                  <w:vMerge w:val="continue"/>
                  <w:vAlign w:val="center"/>
                </w:tcPr>
                <w:p>
                  <w:pPr>
                    <w:jc w:val="center"/>
                    <w:rPr>
                      <w:rFonts w:eastAsiaTheme="minorEastAsia"/>
                      <w:color w:val="auto"/>
                      <w:szCs w:val="21"/>
                    </w:rPr>
                  </w:pPr>
                </w:p>
              </w:tc>
              <w:tc>
                <w:tcPr>
                  <w:tcW w:w="6297" w:type="dxa"/>
                  <w:vAlign w:val="center"/>
                </w:tcPr>
                <w:p>
                  <w:pPr>
                    <w:jc w:val="center"/>
                    <w:rPr>
                      <w:rFonts w:eastAsiaTheme="minorEastAsia"/>
                      <w:color w:val="auto"/>
                      <w:szCs w:val="21"/>
                    </w:rPr>
                  </w:pPr>
                  <w:r>
                    <w:rPr>
                      <w:rFonts w:eastAsiaTheme="minorEastAsia"/>
                      <w:color w:val="auto"/>
                      <w:szCs w:val="21"/>
                    </w:rPr>
                    <w:t>主变规模：2×63MVA ；户内式布置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rFonts w:eastAsiaTheme="minorEastAsia"/>
                      <w:color w:val="auto"/>
                      <w:szCs w:val="21"/>
                    </w:rPr>
                  </w:pPr>
                </w:p>
              </w:tc>
              <w:tc>
                <w:tcPr>
                  <w:tcW w:w="1545" w:type="dxa"/>
                  <w:gridSpan w:val="2"/>
                  <w:vMerge w:val="continue"/>
                  <w:vAlign w:val="center"/>
                </w:tcPr>
                <w:p>
                  <w:pPr>
                    <w:jc w:val="center"/>
                    <w:rPr>
                      <w:rFonts w:eastAsiaTheme="minorEastAsia"/>
                      <w:color w:val="auto"/>
                      <w:szCs w:val="21"/>
                    </w:rPr>
                  </w:pPr>
                </w:p>
              </w:tc>
              <w:tc>
                <w:tcPr>
                  <w:tcW w:w="6297" w:type="dxa"/>
                  <w:vAlign w:val="center"/>
                </w:tcPr>
                <w:p>
                  <w:pPr>
                    <w:jc w:val="center"/>
                    <w:rPr>
                      <w:rFonts w:eastAsiaTheme="minorEastAsia"/>
                      <w:color w:val="auto"/>
                      <w:szCs w:val="21"/>
                    </w:rPr>
                  </w:pPr>
                  <w:r>
                    <w:rPr>
                      <w:rFonts w:eastAsiaTheme="minorEastAsia"/>
                      <w:color w:val="auto"/>
                      <w:szCs w:val="21"/>
                    </w:rPr>
                    <w:t>110kV</w:t>
                  </w:r>
                  <w:r>
                    <w:rPr>
                      <w:rFonts w:hint="eastAsia" w:eastAsiaTheme="minorEastAsia"/>
                      <w:color w:val="auto"/>
                      <w:szCs w:val="21"/>
                    </w:rPr>
                    <w:t>出线</w:t>
                  </w:r>
                  <w:r>
                    <w:rPr>
                      <w:rFonts w:eastAsiaTheme="minorEastAsia"/>
                      <w:color w:val="auto"/>
                      <w:szCs w:val="21"/>
                    </w:rPr>
                    <w:t>1</w:t>
                  </w:r>
                  <w:r>
                    <w:rPr>
                      <w:rFonts w:hint="eastAsia" w:eastAsiaTheme="minorEastAsia"/>
                      <w:color w:val="auto"/>
                      <w:szCs w:val="21"/>
                    </w:rPr>
                    <w:t>回；</w:t>
                  </w:r>
                  <w:r>
                    <w:rPr>
                      <w:rFonts w:eastAsiaTheme="minorEastAsia"/>
                      <w:color w:val="auto"/>
                      <w:szCs w:val="21"/>
                    </w:rPr>
                    <w:t>10kV</w:t>
                  </w:r>
                  <w:r>
                    <w:rPr>
                      <w:rFonts w:hint="eastAsia" w:eastAsiaTheme="minorEastAsia"/>
                      <w:color w:val="auto"/>
                      <w:szCs w:val="21"/>
                    </w:rPr>
                    <w:t>出线</w:t>
                  </w:r>
                  <w:r>
                    <w:rPr>
                      <w:rFonts w:eastAsiaTheme="minorEastAsia"/>
                      <w:color w:val="auto"/>
                      <w:szCs w:val="21"/>
                    </w:rPr>
                    <w:t>20</w:t>
                  </w:r>
                  <w:r>
                    <w:rPr>
                      <w:rFonts w:hint="eastAsia" w:eastAsiaTheme="minorEastAsia"/>
                      <w:color w:val="auto"/>
                      <w:szCs w:val="21"/>
                    </w:rPr>
                    <w:t>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rFonts w:eastAsiaTheme="minorEastAsia"/>
                      <w:color w:val="auto"/>
                      <w:szCs w:val="21"/>
                    </w:rPr>
                  </w:pPr>
                </w:p>
              </w:tc>
              <w:tc>
                <w:tcPr>
                  <w:tcW w:w="1545" w:type="dxa"/>
                  <w:gridSpan w:val="2"/>
                  <w:vMerge w:val="continue"/>
                  <w:vAlign w:val="center"/>
                </w:tcPr>
                <w:p>
                  <w:pPr>
                    <w:jc w:val="center"/>
                    <w:rPr>
                      <w:rFonts w:eastAsiaTheme="minorEastAsia"/>
                      <w:color w:val="auto"/>
                      <w:szCs w:val="21"/>
                    </w:rPr>
                  </w:pPr>
                </w:p>
              </w:tc>
              <w:tc>
                <w:tcPr>
                  <w:tcW w:w="6297" w:type="dxa"/>
                  <w:vAlign w:val="center"/>
                </w:tcPr>
                <w:p>
                  <w:pPr>
                    <w:jc w:val="center"/>
                    <w:rPr>
                      <w:rFonts w:eastAsiaTheme="minorEastAsia"/>
                      <w:color w:val="auto"/>
                      <w:szCs w:val="21"/>
                    </w:rPr>
                  </w:pPr>
                  <w:r>
                    <w:rPr>
                      <w:rFonts w:eastAsiaTheme="minorEastAsia"/>
                      <w:color w:val="auto"/>
                      <w:szCs w:val="21"/>
                    </w:rPr>
                    <w:t>无功补偿：2×2×5Mvar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rFonts w:eastAsiaTheme="minorEastAsia"/>
                      <w:color w:val="auto"/>
                      <w:szCs w:val="21"/>
                    </w:rPr>
                  </w:pPr>
                </w:p>
              </w:tc>
              <w:tc>
                <w:tcPr>
                  <w:tcW w:w="1545" w:type="dxa"/>
                  <w:gridSpan w:val="2"/>
                  <w:vMerge w:val="continue"/>
                  <w:vAlign w:val="center"/>
                </w:tcPr>
                <w:p>
                  <w:pPr>
                    <w:jc w:val="center"/>
                    <w:rPr>
                      <w:rFonts w:eastAsiaTheme="minorEastAsia"/>
                      <w:color w:val="auto"/>
                      <w:szCs w:val="21"/>
                    </w:rPr>
                  </w:pPr>
                </w:p>
              </w:tc>
              <w:tc>
                <w:tcPr>
                  <w:tcW w:w="6297" w:type="dxa"/>
                  <w:vAlign w:val="center"/>
                </w:tcPr>
                <w:p>
                  <w:pPr>
                    <w:jc w:val="center"/>
                    <w:rPr>
                      <w:rFonts w:eastAsiaTheme="minorEastAsia"/>
                      <w:color w:val="auto"/>
                      <w:szCs w:val="21"/>
                    </w:rPr>
                  </w:pPr>
                  <w:r>
                    <w:rPr>
                      <w:rFonts w:eastAsiaTheme="minorEastAsia"/>
                      <w:color w:val="auto"/>
                      <w:szCs w:val="21"/>
                    </w:rPr>
                    <w:t>事故油池1座，有效容积为25m</w:t>
                  </w:r>
                  <w:r>
                    <w:rPr>
                      <w:rFonts w:eastAsiaTheme="minorEastAsia"/>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rFonts w:eastAsiaTheme="minorEastAsia"/>
                      <w:color w:val="auto"/>
                      <w:szCs w:val="21"/>
                    </w:rPr>
                  </w:pPr>
                </w:p>
              </w:tc>
              <w:tc>
                <w:tcPr>
                  <w:tcW w:w="1545" w:type="dxa"/>
                  <w:gridSpan w:val="2"/>
                  <w:vAlign w:val="center"/>
                </w:tcPr>
                <w:p>
                  <w:pPr>
                    <w:jc w:val="center"/>
                    <w:rPr>
                      <w:rFonts w:eastAsiaTheme="minorEastAsia"/>
                      <w:color w:val="auto"/>
                      <w:szCs w:val="21"/>
                    </w:rPr>
                  </w:pPr>
                  <w:r>
                    <w:rPr>
                      <w:rFonts w:hint="eastAsia" w:eastAsiaTheme="minorEastAsia"/>
                      <w:color w:val="auto"/>
                      <w:szCs w:val="21"/>
                    </w:rPr>
                    <w:t>架空线路工程</w:t>
                  </w:r>
                </w:p>
              </w:tc>
              <w:tc>
                <w:tcPr>
                  <w:tcW w:w="6297" w:type="dxa"/>
                  <w:vAlign w:val="center"/>
                </w:tcPr>
                <w:p>
                  <w:pPr>
                    <w:rPr>
                      <w:rFonts w:eastAsiaTheme="minorEastAsia"/>
                      <w:color w:val="auto"/>
                      <w:szCs w:val="21"/>
                    </w:rPr>
                  </w:pPr>
                  <w:r>
                    <w:rPr>
                      <w:rFonts w:hint="eastAsia" w:eastAsiaTheme="minorEastAsia"/>
                      <w:color w:val="auto"/>
                      <w:szCs w:val="21"/>
                    </w:rPr>
                    <w:t>新建路径总长度</w:t>
                  </w:r>
                  <w:r>
                    <w:rPr>
                      <w:rFonts w:eastAsiaTheme="minorEastAsia"/>
                      <w:color w:val="auto"/>
                      <w:szCs w:val="21"/>
                    </w:rPr>
                    <w:t>0.2km</w:t>
                  </w:r>
                  <w:r>
                    <w:rPr>
                      <w:rFonts w:hint="eastAsia" w:eastAsiaTheme="minorEastAsia"/>
                      <w:color w:val="auto"/>
                      <w:szCs w:val="21"/>
                    </w:rPr>
                    <w:t>，航空直线距离为</w:t>
                  </w:r>
                  <w:r>
                    <w:rPr>
                      <w:rFonts w:eastAsiaTheme="minorEastAsia"/>
                      <w:color w:val="auto"/>
                      <w:szCs w:val="21"/>
                    </w:rPr>
                    <w:t>0.116km</w:t>
                  </w:r>
                  <w:r>
                    <w:rPr>
                      <w:rFonts w:hint="eastAsia" w:eastAsiaTheme="minorEastAsia"/>
                      <w:color w:val="auto"/>
                      <w:szCs w:val="21"/>
                    </w:rPr>
                    <w:t>；导线采用</w:t>
                  </w:r>
                  <w:r>
                    <w:rPr>
                      <w:rFonts w:eastAsiaTheme="minorEastAsia"/>
                      <w:color w:val="auto"/>
                      <w:szCs w:val="21"/>
                    </w:rPr>
                    <w:t>JL3/G1A-300/40</w:t>
                  </w:r>
                  <w:r>
                    <w:rPr>
                      <w:rFonts w:hint="eastAsia" w:eastAsiaTheme="minorEastAsia"/>
                      <w:color w:val="auto"/>
                      <w:szCs w:val="21"/>
                    </w:rPr>
                    <w:t>型钢芯高导电率铝绞线，地线采用两根</w:t>
                  </w:r>
                  <w:r>
                    <w:rPr>
                      <w:rFonts w:eastAsiaTheme="minorEastAsia"/>
                      <w:color w:val="auto"/>
                      <w:szCs w:val="21"/>
                    </w:rPr>
                    <w:t>24</w:t>
                  </w:r>
                  <w:r>
                    <w:rPr>
                      <w:rFonts w:hint="eastAsia" w:eastAsiaTheme="minorEastAsia"/>
                      <w:color w:val="auto"/>
                      <w:szCs w:val="21"/>
                    </w:rPr>
                    <w:t>芯</w:t>
                  </w:r>
                  <w:r>
                    <w:rPr>
                      <w:rFonts w:eastAsiaTheme="minorEastAsia"/>
                      <w:color w:val="auto"/>
                      <w:szCs w:val="21"/>
                    </w:rPr>
                    <w:t>OPGW-13-90-1</w:t>
                  </w:r>
                  <w:r>
                    <w:rPr>
                      <w:rFonts w:hint="eastAsia" w:eastAsiaTheme="minorEastAsia"/>
                      <w:color w:val="auto"/>
                      <w:szCs w:val="21"/>
                    </w:rPr>
                    <w:t>型复合光缆；需迁改</w:t>
                  </w:r>
                  <w:r>
                    <w:rPr>
                      <w:rFonts w:eastAsiaTheme="minorEastAsia"/>
                      <w:color w:val="auto"/>
                      <w:szCs w:val="21"/>
                    </w:rPr>
                    <w:t>35kV</w:t>
                  </w:r>
                  <w:r>
                    <w:rPr>
                      <w:rFonts w:hint="eastAsia" w:eastAsiaTheme="minorEastAsia"/>
                      <w:color w:val="auto"/>
                      <w:szCs w:val="21"/>
                    </w:rPr>
                    <w:t>北矛</w:t>
                  </w:r>
                  <w:r>
                    <w:rPr>
                      <w:rFonts w:eastAsiaTheme="minorEastAsia"/>
                      <w:color w:val="auto"/>
                      <w:szCs w:val="21"/>
                    </w:rPr>
                    <w:t>1</w:t>
                  </w:r>
                  <w:r>
                    <w:rPr>
                      <w:rFonts w:hint="eastAsia" w:eastAsiaTheme="minorEastAsia"/>
                      <w:color w:val="auto"/>
                      <w:szCs w:val="21"/>
                    </w:rPr>
                    <w:t>线线路和</w:t>
                  </w:r>
                  <w:r>
                    <w:rPr>
                      <w:rFonts w:eastAsiaTheme="minorEastAsia"/>
                      <w:color w:val="auto"/>
                      <w:szCs w:val="21"/>
                    </w:rPr>
                    <w:t>10kV</w:t>
                  </w:r>
                  <w:r>
                    <w:rPr>
                      <w:rFonts w:hint="eastAsia" w:eastAsiaTheme="minorEastAsia"/>
                      <w:color w:val="auto"/>
                      <w:szCs w:val="21"/>
                    </w:rPr>
                    <w:t>儒政、儒工线双回线路。新建杆塔</w:t>
                  </w:r>
                  <w:r>
                    <w:rPr>
                      <w:rFonts w:eastAsiaTheme="minorEastAsia"/>
                      <w:color w:val="auto"/>
                      <w:szCs w:val="21"/>
                    </w:rPr>
                    <w:t>3</w:t>
                  </w:r>
                  <w:r>
                    <w:rPr>
                      <w:rFonts w:hint="eastAsia" w:eastAsiaTheme="minorEastAsia"/>
                      <w:color w:val="auto"/>
                      <w:szCs w:val="21"/>
                    </w:rPr>
                    <w:t>基，其中双回路耐张塔</w:t>
                  </w:r>
                  <w:r>
                    <w:rPr>
                      <w:rFonts w:eastAsiaTheme="minorEastAsia"/>
                      <w:color w:val="auto"/>
                      <w:szCs w:val="21"/>
                    </w:rPr>
                    <w:t>2</w:t>
                  </w:r>
                  <w:r>
                    <w:rPr>
                      <w:rFonts w:hint="eastAsia" w:eastAsiaTheme="minorEastAsia"/>
                      <w:color w:val="auto"/>
                      <w:szCs w:val="21"/>
                    </w:rPr>
                    <w:t>基（</w:t>
                  </w:r>
                  <w:r>
                    <w:rPr>
                      <w:rFonts w:eastAsiaTheme="minorEastAsia"/>
                      <w:color w:val="auto"/>
                      <w:szCs w:val="21"/>
                    </w:rPr>
                    <w:t>1D9-SDJC</w:t>
                  </w:r>
                  <w:r>
                    <w:rPr>
                      <w:rFonts w:hint="eastAsia" w:eastAsiaTheme="minorEastAsia"/>
                      <w:color w:val="auto"/>
                      <w:szCs w:val="21"/>
                    </w:rPr>
                    <w:t>），单回路耐张塔</w:t>
                  </w:r>
                  <w:r>
                    <w:rPr>
                      <w:rFonts w:eastAsiaTheme="minorEastAsia"/>
                      <w:color w:val="auto"/>
                      <w:szCs w:val="21"/>
                    </w:rPr>
                    <w:t>1</w:t>
                  </w:r>
                  <w:r>
                    <w:rPr>
                      <w:rFonts w:hint="eastAsia" w:eastAsiaTheme="minorEastAsia"/>
                      <w:color w:val="auto"/>
                      <w:szCs w:val="21"/>
                    </w:rPr>
                    <w:t>基（</w:t>
                  </w:r>
                  <w:r>
                    <w:rPr>
                      <w:rFonts w:eastAsiaTheme="minorEastAsia"/>
                      <w:color w:val="auto"/>
                      <w:szCs w:val="21"/>
                    </w:rPr>
                    <w:t>1A8-DJC</w:t>
                  </w:r>
                  <w:r>
                    <w:rPr>
                      <w:rFonts w:hint="eastAsia" w:eastAsia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jc w:val="center"/>
                    <w:rPr>
                      <w:rFonts w:eastAsiaTheme="minorEastAsia"/>
                      <w:color w:val="auto"/>
                      <w:szCs w:val="21"/>
                    </w:rPr>
                  </w:pPr>
                  <w:r>
                    <w:rPr>
                      <w:rFonts w:hint="eastAsia" w:eastAsiaTheme="minorEastAsia"/>
                      <w:color w:val="auto"/>
                      <w:szCs w:val="21"/>
                    </w:rPr>
                    <w:t>占地面积</w:t>
                  </w:r>
                </w:p>
              </w:tc>
              <w:tc>
                <w:tcPr>
                  <w:tcW w:w="7842" w:type="dxa"/>
                  <w:gridSpan w:val="3"/>
                  <w:vAlign w:val="center"/>
                </w:tcPr>
                <w:p>
                  <w:pPr>
                    <w:jc w:val="center"/>
                    <w:rPr>
                      <w:rFonts w:eastAsiaTheme="minorEastAsia"/>
                      <w:color w:val="auto"/>
                      <w:szCs w:val="21"/>
                    </w:rPr>
                  </w:pPr>
                  <w:r>
                    <w:rPr>
                      <w:rFonts w:eastAsiaTheme="minorEastAsia"/>
                      <w:color w:val="auto"/>
                      <w:szCs w:val="21"/>
                    </w:rPr>
                    <w:t>20466.8m</w:t>
                  </w:r>
                  <w:r>
                    <w:rPr>
                      <w:rFonts w:eastAsiaTheme="minorEastAsia"/>
                      <w:color w:val="auto"/>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jc w:val="center"/>
                    <w:rPr>
                      <w:rFonts w:eastAsiaTheme="minorEastAsia"/>
                      <w:color w:val="auto"/>
                      <w:szCs w:val="21"/>
                    </w:rPr>
                  </w:pPr>
                  <w:r>
                    <w:rPr>
                      <w:rFonts w:hint="eastAsia" w:eastAsiaTheme="minorEastAsia"/>
                      <w:color w:val="auto"/>
                      <w:szCs w:val="21"/>
                    </w:rPr>
                    <w:t>总投资</w:t>
                  </w:r>
                </w:p>
              </w:tc>
              <w:tc>
                <w:tcPr>
                  <w:tcW w:w="7842" w:type="dxa"/>
                  <w:gridSpan w:val="3"/>
                  <w:vAlign w:val="center"/>
                </w:tcPr>
                <w:p>
                  <w:pPr>
                    <w:jc w:val="center"/>
                    <w:rPr>
                      <w:rFonts w:eastAsiaTheme="minorEastAsia"/>
                      <w:color w:val="auto"/>
                      <w:szCs w:val="21"/>
                    </w:rPr>
                  </w:pPr>
                  <w:r>
                    <w:rPr>
                      <w:rFonts w:eastAsiaTheme="minorEastAsia"/>
                      <w:color w:val="auto"/>
                      <w:szCs w:val="21"/>
                    </w:rPr>
                    <w:t>42471</w:t>
                  </w:r>
                  <w:r>
                    <w:rPr>
                      <w:rFonts w:hint="eastAsia" w:eastAsiaTheme="minorEastAsia"/>
                      <w:color w:val="auto"/>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jc w:val="center"/>
                    <w:rPr>
                      <w:rFonts w:eastAsiaTheme="minorEastAsia"/>
                      <w:color w:val="auto"/>
                      <w:szCs w:val="21"/>
                    </w:rPr>
                  </w:pPr>
                  <w:r>
                    <w:rPr>
                      <w:rFonts w:hint="eastAsia" w:eastAsiaTheme="minorEastAsia"/>
                      <w:color w:val="auto"/>
                      <w:szCs w:val="21"/>
                    </w:rPr>
                    <w:t>投产时间</w:t>
                  </w:r>
                </w:p>
              </w:tc>
              <w:tc>
                <w:tcPr>
                  <w:tcW w:w="7842" w:type="dxa"/>
                  <w:gridSpan w:val="3"/>
                  <w:vAlign w:val="center"/>
                </w:tcPr>
                <w:p>
                  <w:pPr>
                    <w:jc w:val="center"/>
                    <w:rPr>
                      <w:rFonts w:eastAsiaTheme="minorEastAsia"/>
                      <w:color w:val="auto"/>
                      <w:szCs w:val="21"/>
                    </w:rPr>
                  </w:pPr>
                  <w:r>
                    <w:rPr>
                      <w:rFonts w:eastAsiaTheme="minorEastAsia"/>
                      <w:color w:val="auto"/>
                      <w:szCs w:val="21"/>
                    </w:rPr>
                    <w:t>2021</w:t>
                  </w:r>
                  <w:r>
                    <w:rPr>
                      <w:rFonts w:hint="eastAsia" w:eastAsiaTheme="minorEastAsia"/>
                      <w:color w:val="auto"/>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pPr>
                    <w:jc w:val="center"/>
                    <w:rPr>
                      <w:rFonts w:eastAsiaTheme="minorEastAsia"/>
                      <w:color w:val="auto"/>
                      <w:szCs w:val="21"/>
                    </w:rPr>
                  </w:pPr>
                  <w:r>
                    <w:rPr>
                      <w:rFonts w:hint="eastAsia" w:eastAsiaTheme="minorEastAsia"/>
                      <w:color w:val="auto"/>
                      <w:szCs w:val="21"/>
                    </w:rPr>
                    <w:t>环保措施及设施</w:t>
                  </w:r>
                </w:p>
              </w:tc>
              <w:tc>
                <w:tcPr>
                  <w:tcW w:w="710" w:type="dxa"/>
                  <w:vAlign w:val="center"/>
                </w:tcPr>
                <w:p>
                  <w:pPr>
                    <w:jc w:val="center"/>
                    <w:rPr>
                      <w:rFonts w:eastAsiaTheme="minorEastAsia"/>
                      <w:color w:val="auto"/>
                      <w:szCs w:val="21"/>
                    </w:rPr>
                  </w:pPr>
                  <w:r>
                    <w:rPr>
                      <w:rFonts w:hint="eastAsia" w:eastAsiaTheme="minorEastAsia"/>
                      <w:color w:val="auto"/>
                      <w:szCs w:val="21"/>
                    </w:rPr>
                    <w:t>废水</w:t>
                  </w:r>
                </w:p>
              </w:tc>
              <w:tc>
                <w:tcPr>
                  <w:tcW w:w="7132" w:type="dxa"/>
                  <w:gridSpan w:val="2"/>
                  <w:vAlign w:val="center"/>
                </w:tcPr>
                <w:p>
                  <w:pPr>
                    <w:rPr>
                      <w:rFonts w:eastAsiaTheme="minorEastAsia"/>
                      <w:color w:val="auto"/>
                      <w:szCs w:val="21"/>
                    </w:rPr>
                  </w:pPr>
                  <w:r>
                    <w:rPr>
                      <w:rFonts w:hint="eastAsia"/>
                      <w:color w:val="auto"/>
                      <w:spacing w:val="6"/>
                      <w:szCs w:val="21"/>
                    </w:rPr>
                    <w:t>储能电站为无人值班站，值守人员较少，生活污水经化粪池处理后定期清掏，不外排。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jc w:val="center"/>
                    <w:rPr>
                      <w:rFonts w:eastAsiaTheme="minorEastAsia"/>
                      <w:color w:val="auto"/>
                      <w:szCs w:val="21"/>
                    </w:rPr>
                  </w:pPr>
                </w:p>
              </w:tc>
              <w:tc>
                <w:tcPr>
                  <w:tcW w:w="710" w:type="dxa"/>
                  <w:vMerge w:val="restart"/>
                  <w:vAlign w:val="center"/>
                </w:tcPr>
                <w:p>
                  <w:pPr>
                    <w:jc w:val="center"/>
                    <w:rPr>
                      <w:rFonts w:eastAsiaTheme="minorEastAsia"/>
                      <w:color w:val="auto"/>
                      <w:szCs w:val="21"/>
                    </w:rPr>
                  </w:pPr>
                  <w:r>
                    <w:rPr>
                      <w:rFonts w:hint="eastAsia" w:eastAsiaTheme="minorEastAsia"/>
                      <w:color w:val="auto"/>
                      <w:szCs w:val="21"/>
                    </w:rPr>
                    <w:t>固废</w:t>
                  </w:r>
                </w:p>
              </w:tc>
              <w:tc>
                <w:tcPr>
                  <w:tcW w:w="7132" w:type="dxa"/>
                  <w:gridSpan w:val="2"/>
                  <w:vAlign w:val="center"/>
                </w:tcPr>
                <w:p>
                  <w:pPr>
                    <w:rPr>
                      <w:rFonts w:eastAsiaTheme="minorEastAsia"/>
                      <w:color w:val="auto"/>
                      <w:szCs w:val="21"/>
                    </w:rPr>
                  </w:pPr>
                  <w:r>
                    <w:rPr>
                      <w:rFonts w:hint="eastAsia" w:eastAsiaTheme="minorEastAsia"/>
                      <w:color w:val="auto"/>
                      <w:szCs w:val="21"/>
                    </w:rPr>
                    <w:t>设置了</w:t>
                  </w:r>
                  <w:r>
                    <w:rPr>
                      <w:rFonts w:eastAsiaTheme="minorEastAsia"/>
                      <w:color w:val="auto"/>
                      <w:szCs w:val="21"/>
                    </w:rPr>
                    <w:t>25m</w:t>
                  </w:r>
                  <w:r>
                    <w:rPr>
                      <w:rFonts w:eastAsiaTheme="minorEastAsia"/>
                      <w:color w:val="auto"/>
                      <w:szCs w:val="21"/>
                      <w:vertAlign w:val="superscript"/>
                    </w:rPr>
                    <w:t>3</w:t>
                  </w:r>
                  <w:r>
                    <w:rPr>
                      <w:rFonts w:hint="eastAsia" w:eastAsiaTheme="minorEastAsia"/>
                      <w:color w:val="auto"/>
                      <w:szCs w:val="21"/>
                    </w:rPr>
                    <w:t>主变压器事故油池一座，容量为最大主变油量</w:t>
                  </w:r>
                  <w:r>
                    <w:rPr>
                      <w:rFonts w:eastAsiaTheme="minorEastAsia"/>
                      <w:color w:val="auto"/>
                      <w:szCs w:val="21"/>
                    </w:rPr>
                    <w:t>100%</w:t>
                  </w:r>
                  <w:r>
                    <w:rPr>
                      <w:rFonts w:hint="eastAsia" w:eastAsiaTheme="minorEastAsia"/>
                      <w:color w:val="auto"/>
                      <w:szCs w:val="21"/>
                    </w:rPr>
                    <w:t>考虑。变压器在发生事故时收集泄露的变压器油，不外排。</w:t>
                  </w:r>
                  <w:r>
                    <w:rPr>
                      <w:rFonts w:hint="eastAsia" w:eastAsiaTheme="minorEastAsia"/>
                      <w:color w:val="auto"/>
                      <w:szCs w:val="21"/>
                      <w:u w:val="single"/>
                    </w:rPr>
                    <w:t>废旧铅酸蓄电池交由有资质单位处置。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Merge w:val="continue"/>
                  <w:vAlign w:val="center"/>
                </w:tcPr>
                <w:p>
                  <w:pPr>
                    <w:jc w:val="center"/>
                    <w:rPr>
                      <w:rFonts w:eastAsiaTheme="minorEastAsia"/>
                      <w:color w:val="auto"/>
                      <w:szCs w:val="21"/>
                    </w:rPr>
                  </w:pPr>
                </w:p>
              </w:tc>
              <w:tc>
                <w:tcPr>
                  <w:tcW w:w="710" w:type="dxa"/>
                  <w:vMerge w:val="continue"/>
                  <w:vAlign w:val="center"/>
                </w:tcPr>
                <w:p>
                  <w:pPr>
                    <w:jc w:val="center"/>
                    <w:rPr>
                      <w:rFonts w:eastAsiaTheme="minorEastAsia"/>
                      <w:color w:val="auto"/>
                      <w:szCs w:val="21"/>
                    </w:rPr>
                  </w:pPr>
                </w:p>
              </w:tc>
              <w:tc>
                <w:tcPr>
                  <w:tcW w:w="7132" w:type="dxa"/>
                  <w:gridSpan w:val="2"/>
                  <w:vAlign w:val="center"/>
                </w:tcPr>
                <w:p>
                  <w:pPr>
                    <w:rPr>
                      <w:rFonts w:eastAsiaTheme="minorEastAsia"/>
                      <w:color w:val="auto"/>
                      <w:szCs w:val="21"/>
                    </w:rPr>
                  </w:pPr>
                  <w:r>
                    <w:rPr>
                      <w:rFonts w:hint="eastAsia"/>
                      <w:color w:val="auto"/>
                      <w:spacing w:val="6"/>
                      <w:szCs w:val="21"/>
                    </w:rPr>
                    <w:t>生活垃圾经分类收集，依托厂区现有收集系统，定期清运至当地生活垃圾处理系统处理。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Merge w:val="continue"/>
                  <w:vAlign w:val="center"/>
                </w:tcPr>
                <w:p>
                  <w:pPr>
                    <w:jc w:val="center"/>
                    <w:rPr>
                      <w:rFonts w:eastAsiaTheme="minorEastAsia"/>
                      <w:color w:val="auto"/>
                      <w:szCs w:val="21"/>
                    </w:rPr>
                  </w:pPr>
                </w:p>
              </w:tc>
              <w:tc>
                <w:tcPr>
                  <w:tcW w:w="710" w:type="dxa"/>
                  <w:vAlign w:val="center"/>
                </w:tcPr>
                <w:p>
                  <w:pPr>
                    <w:jc w:val="center"/>
                    <w:rPr>
                      <w:rFonts w:eastAsiaTheme="minorEastAsia"/>
                      <w:color w:val="auto"/>
                      <w:szCs w:val="21"/>
                    </w:rPr>
                  </w:pPr>
                  <w:r>
                    <w:rPr>
                      <w:rFonts w:hint="eastAsia" w:eastAsiaTheme="minorEastAsia"/>
                      <w:color w:val="auto"/>
                      <w:szCs w:val="21"/>
                    </w:rPr>
                    <w:t>噪声</w:t>
                  </w:r>
                </w:p>
              </w:tc>
              <w:tc>
                <w:tcPr>
                  <w:tcW w:w="7132" w:type="dxa"/>
                  <w:gridSpan w:val="2"/>
                  <w:vAlign w:val="center"/>
                </w:tcPr>
                <w:p>
                  <w:pPr>
                    <w:rPr>
                      <w:color w:val="auto"/>
                      <w:spacing w:val="6"/>
                      <w:szCs w:val="21"/>
                      <w:u w:val="single"/>
                    </w:rPr>
                  </w:pPr>
                  <w:r>
                    <w:rPr>
                      <w:rFonts w:hint="eastAsia"/>
                      <w:color w:val="auto"/>
                      <w:spacing w:val="6"/>
                      <w:szCs w:val="21"/>
                      <w:u w:val="single"/>
                    </w:rPr>
                    <w:t>合理进行总平面规划布置，将主要噪声源主变压器布置在变电站中部位置。选用的低噪声设备（在设备选型上选用符合国家噪声标准的设备，主变压器</w:t>
                  </w:r>
                  <w:r>
                    <w:rPr>
                      <w:color w:val="auto"/>
                      <w:spacing w:val="6"/>
                      <w:szCs w:val="21"/>
                      <w:u w:val="single"/>
                    </w:rPr>
                    <w:t>1m</w:t>
                  </w:r>
                  <w:r>
                    <w:rPr>
                      <w:rFonts w:hint="eastAsia"/>
                      <w:color w:val="auto"/>
                      <w:spacing w:val="6"/>
                      <w:szCs w:val="21"/>
                      <w:u w:val="single"/>
                    </w:rPr>
                    <w:t>处声压级不高于</w:t>
                  </w:r>
                  <w:r>
                    <w:rPr>
                      <w:color w:val="auto"/>
                      <w:spacing w:val="6"/>
                      <w:szCs w:val="21"/>
                      <w:u w:val="single"/>
                    </w:rPr>
                    <w:t>65dB</w:t>
                  </w:r>
                  <w:r>
                    <w:rPr>
                      <w:rFonts w:hint="eastAsia"/>
                      <w:color w:val="auto"/>
                      <w:spacing w:val="6"/>
                      <w:szCs w:val="21"/>
                      <w:u w:val="single"/>
                    </w:rPr>
                    <w:t>（</w:t>
                  </w:r>
                  <w:r>
                    <w:rPr>
                      <w:color w:val="auto"/>
                      <w:spacing w:val="6"/>
                      <w:szCs w:val="21"/>
                      <w:u w:val="single"/>
                    </w:rPr>
                    <w:t>A</w:t>
                  </w:r>
                  <w:r>
                    <w:rPr>
                      <w:rFonts w:hint="eastAsia"/>
                      <w:color w:val="auto"/>
                      <w:spacing w:val="6"/>
                      <w:szCs w:val="21"/>
                      <w:u w:val="single"/>
                    </w:rPr>
                    <w:t>）、工业级储能舱空调主机</w:t>
                  </w:r>
                  <w:r>
                    <w:rPr>
                      <w:color w:val="auto"/>
                      <w:spacing w:val="6"/>
                      <w:szCs w:val="21"/>
                      <w:u w:val="single"/>
                    </w:rPr>
                    <w:t>1m</w:t>
                  </w:r>
                  <w:r>
                    <w:rPr>
                      <w:rFonts w:hint="eastAsia"/>
                      <w:color w:val="auto"/>
                      <w:spacing w:val="6"/>
                      <w:szCs w:val="21"/>
                      <w:u w:val="single"/>
                    </w:rPr>
                    <w:t>处声压级不高于</w:t>
                  </w:r>
                  <w:r>
                    <w:rPr>
                      <w:color w:val="auto"/>
                      <w:spacing w:val="6"/>
                      <w:szCs w:val="21"/>
                      <w:u w:val="single"/>
                    </w:rPr>
                    <w:t>70dB</w:t>
                  </w:r>
                  <w:r>
                    <w:rPr>
                      <w:rFonts w:hint="eastAsia"/>
                      <w:color w:val="auto"/>
                      <w:spacing w:val="6"/>
                      <w:szCs w:val="21"/>
                      <w:u w:val="single"/>
                    </w:rPr>
                    <w:t>（</w:t>
                  </w:r>
                  <w:r>
                    <w:rPr>
                      <w:color w:val="auto"/>
                      <w:spacing w:val="6"/>
                      <w:szCs w:val="21"/>
                      <w:u w:val="single"/>
                    </w:rPr>
                    <w:t>A</w:t>
                  </w:r>
                  <w:r>
                    <w:rPr>
                      <w:rFonts w:hint="eastAsia"/>
                      <w:color w:val="auto"/>
                      <w:spacing w:val="6"/>
                      <w:szCs w:val="21"/>
                      <w:u w:val="single"/>
                    </w:rPr>
                    <w:t>）、轴流风机</w:t>
                  </w:r>
                  <w:r>
                    <w:rPr>
                      <w:color w:val="auto"/>
                      <w:spacing w:val="6"/>
                      <w:szCs w:val="21"/>
                      <w:u w:val="single"/>
                    </w:rPr>
                    <w:t>1m</w:t>
                  </w:r>
                  <w:r>
                    <w:rPr>
                      <w:rFonts w:hint="eastAsia"/>
                      <w:color w:val="auto"/>
                      <w:spacing w:val="6"/>
                      <w:szCs w:val="21"/>
                      <w:u w:val="single"/>
                    </w:rPr>
                    <w:t>处声压级不高于</w:t>
                  </w:r>
                  <w:r>
                    <w:rPr>
                      <w:color w:val="auto"/>
                      <w:spacing w:val="6"/>
                      <w:szCs w:val="21"/>
                      <w:u w:val="single"/>
                    </w:rPr>
                    <w:t>70dB</w:t>
                  </w:r>
                  <w:r>
                    <w:rPr>
                      <w:rFonts w:hint="eastAsia"/>
                      <w:color w:val="auto"/>
                      <w:spacing w:val="6"/>
                      <w:szCs w:val="21"/>
                      <w:u w:val="single"/>
                    </w:rPr>
                    <w:t>（</w:t>
                  </w:r>
                  <w:r>
                    <w:rPr>
                      <w:color w:val="auto"/>
                      <w:spacing w:val="6"/>
                      <w:szCs w:val="21"/>
                      <w:u w:val="single"/>
                    </w:rPr>
                    <w:t>A</w:t>
                  </w:r>
                  <w:r>
                    <w:rPr>
                      <w:rFonts w:hint="eastAsia"/>
                      <w:color w:val="auto"/>
                      <w:spacing w:val="6"/>
                      <w:szCs w:val="21"/>
                      <w:u w:val="single"/>
                    </w:rPr>
                    <w:t>）），各设备定期检查维护。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jc w:val="center"/>
                    <w:rPr>
                      <w:rFonts w:eastAsiaTheme="minorEastAsia"/>
                      <w:color w:val="auto"/>
                      <w:szCs w:val="21"/>
                    </w:rPr>
                  </w:pPr>
                </w:p>
              </w:tc>
              <w:tc>
                <w:tcPr>
                  <w:tcW w:w="710" w:type="dxa"/>
                  <w:vAlign w:val="center"/>
                </w:tcPr>
                <w:p>
                  <w:pPr>
                    <w:jc w:val="center"/>
                    <w:rPr>
                      <w:rFonts w:eastAsiaTheme="minorEastAsia"/>
                      <w:color w:val="auto"/>
                      <w:szCs w:val="21"/>
                    </w:rPr>
                  </w:pPr>
                  <w:r>
                    <w:rPr>
                      <w:rFonts w:hint="eastAsia" w:eastAsiaTheme="minorEastAsia"/>
                      <w:color w:val="auto"/>
                      <w:szCs w:val="21"/>
                    </w:rPr>
                    <w:t>生态环境</w:t>
                  </w:r>
                </w:p>
              </w:tc>
              <w:tc>
                <w:tcPr>
                  <w:tcW w:w="7132" w:type="dxa"/>
                  <w:gridSpan w:val="2"/>
                  <w:vAlign w:val="center"/>
                </w:tcPr>
                <w:p>
                  <w:pPr>
                    <w:tabs>
                      <w:tab w:val="left" w:pos="1256"/>
                    </w:tabs>
                    <w:adjustRightInd w:val="0"/>
                    <w:snapToGrid w:val="0"/>
                    <w:spacing w:line="276" w:lineRule="auto"/>
                    <w:jc w:val="left"/>
                    <w:rPr>
                      <w:color w:val="auto"/>
                      <w:spacing w:val="6"/>
                      <w:szCs w:val="21"/>
                    </w:rPr>
                  </w:pPr>
                  <w:r>
                    <w:rPr>
                      <w:rFonts w:hint="eastAsia"/>
                      <w:color w:val="auto"/>
                      <w:spacing w:val="6"/>
                      <w:szCs w:val="21"/>
                    </w:rPr>
                    <w:t>生态保护：减少施工临时占地，避免对植被的破坏；对临时占地及时采取植树种草、合理绿化，对永久性占地进行生态补偿。</w:t>
                  </w:r>
                </w:p>
                <w:p>
                  <w:pPr>
                    <w:rPr>
                      <w:color w:val="auto"/>
                      <w:spacing w:val="6"/>
                      <w:szCs w:val="21"/>
                    </w:rPr>
                  </w:pPr>
                  <w:r>
                    <w:rPr>
                      <w:rFonts w:hint="eastAsia"/>
                      <w:color w:val="auto"/>
                      <w:spacing w:val="6"/>
                      <w:szCs w:val="21"/>
                    </w:rPr>
                    <w:t>水土流失治理：编制水土保持方案，制定水土保持控制目标，采取工程与植物措施相结合的方式控制水土流失。</w:t>
                  </w:r>
                </w:p>
              </w:tc>
            </w:tr>
          </w:tbl>
          <w:p>
            <w:pPr>
              <w:spacing w:line="360" w:lineRule="auto"/>
              <w:rPr>
                <w:b/>
                <w:bCs/>
                <w:iCs/>
                <w:color w:val="auto"/>
                <w:sz w:val="24"/>
              </w:rPr>
            </w:pPr>
            <w:r>
              <w:rPr>
                <w:b/>
                <w:bCs/>
                <w:iCs/>
                <w:color w:val="auto"/>
                <w:sz w:val="24"/>
              </w:rPr>
              <w:t xml:space="preserve">1.2.2 </w:t>
            </w:r>
            <w:r>
              <w:rPr>
                <w:rFonts w:hint="eastAsia"/>
                <w:b/>
                <w:bCs/>
                <w:iCs/>
                <w:color w:val="auto"/>
                <w:sz w:val="24"/>
              </w:rPr>
              <w:t>方案合理性分析</w:t>
            </w:r>
          </w:p>
          <w:p>
            <w:pPr>
              <w:spacing w:line="360" w:lineRule="auto"/>
              <w:ind w:firstLine="480"/>
              <w:rPr>
                <w:bCs/>
                <w:iCs/>
                <w:color w:val="auto"/>
                <w:sz w:val="24"/>
              </w:rPr>
            </w:pPr>
            <w:r>
              <w:rPr>
                <w:rFonts w:hint="eastAsia"/>
                <w:bCs/>
                <w:iCs/>
                <w:color w:val="auto"/>
                <w:sz w:val="24"/>
              </w:rPr>
              <w:t>根据现场调查与踏勘，并结合相关资料分析，本工程建设地点位于邵阳市城步苗族自治县，</w:t>
            </w:r>
            <w:r>
              <w:rPr>
                <w:bCs/>
                <w:iCs/>
                <w:color w:val="auto"/>
                <w:sz w:val="24"/>
              </w:rPr>
              <w:t>219</w:t>
            </w:r>
            <w:r>
              <w:rPr>
                <w:rFonts w:hint="eastAsia"/>
                <w:bCs/>
                <w:iCs/>
                <w:color w:val="auto"/>
                <w:sz w:val="24"/>
              </w:rPr>
              <w:t>省道北侧，毗邻儒林</w:t>
            </w:r>
            <w:r>
              <w:rPr>
                <w:bCs/>
                <w:iCs/>
                <w:color w:val="auto"/>
                <w:sz w:val="24"/>
              </w:rPr>
              <w:t>220kV</w:t>
            </w:r>
            <w:r>
              <w:rPr>
                <w:rFonts w:hint="eastAsia"/>
                <w:bCs/>
                <w:iCs/>
                <w:color w:val="auto"/>
                <w:sz w:val="24"/>
              </w:rPr>
              <w:t>变电站，工程不涉及自然保护区、风景名胜区、饮用水源保护区等特殊及重要的生态敏感区，也不涉及生态保护红线范围，因此，从环境保护角度分析本工程选址无明显环境制约因素，环评认为方案合理。</w:t>
            </w:r>
          </w:p>
          <w:p>
            <w:pPr>
              <w:spacing w:line="360" w:lineRule="auto"/>
              <w:rPr>
                <w:b/>
                <w:bCs/>
                <w:iCs/>
                <w:color w:val="auto"/>
                <w:sz w:val="24"/>
              </w:rPr>
            </w:pPr>
            <w:r>
              <w:rPr>
                <w:b/>
                <w:bCs/>
                <w:iCs/>
                <w:color w:val="auto"/>
                <w:sz w:val="24"/>
              </w:rPr>
              <w:t xml:space="preserve">1.2.3 </w:t>
            </w:r>
            <w:r>
              <w:rPr>
                <w:rFonts w:hint="eastAsia"/>
                <w:b/>
                <w:bCs/>
                <w:iCs/>
                <w:color w:val="auto"/>
                <w:sz w:val="24"/>
              </w:rPr>
              <w:t>站址概况</w:t>
            </w:r>
          </w:p>
          <w:p>
            <w:pPr>
              <w:autoSpaceDE w:val="0"/>
              <w:autoSpaceDN w:val="0"/>
              <w:adjustRightInd w:val="0"/>
              <w:spacing w:line="360" w:lineRule="auto"/>
              <w:ind w:firstLine="600" w:firstLineChars="250"/>
              <w:rPr>
                <w:bCs/>
                <w:iCs/>
                <w:color w:val="auto"/>
                <w:sz w:val="24"/>
              </w:rPr>
            </w:pPr>
            <w:r>
              <w:rPr>
                <w:rFonts w:hint="eastAsia"/>
                <w:bCs/>
                <w:iCs/>
                <w:color w:val="auto"/>
                <w:sz w:val="24"/>
              </w:rPr>
              <w:t>城步儒林电池储能站工程位于湖南省邵阳市城步苗族自治县儒林</w:t>
            </w:r>
            <w:r>
              <w:rPr>
                <w:bCs/>
                <w:iCs/>
                <w:color w:val="auto"/>
                <w:sz w:val="24"/>
              </w:rPr>
              <w:t>220kV</w:t>
            </w:r>
            <w:r>
              <w:rPr>
                <w:rFonts w:hint="eastAsia"/>
                <w:bCs/>
                <w:iCs/>
                <w:color w:val="auto"/>
                <w:sz w:val="24"/>
              </w:rPr>
              <w:t>变电站西侧，南侧场址紧邻</w:t>
            </w:r>
            <w:r>
              <w:rPr>
                <w:bCs/>
                <w:iCs/>
                <w:color w:val="auto"/>
                <w:sz w:val="24"/>
              </w:rPr>
              <w:t>219</w:t>
            </w:r>
            <w:r>
              <w:rPr>
                <w:rFonts w:hint="eastAsia"/>
                <w:bCs/>
                <w:iCs/>
                <w:color w:val="auto"/>
                <w:sz w:val="24"/>
              </w:rPr>
              <w:t>省道，距西南侧城步县城约</w:t>
            </w:r>
            <w:r>
              <w:rPr>
                <w:bCs/>
                <w:iCs/>
                <w:color w:val="auto"/>
                <w:sz w:val="24"/>
              </w:rPr>
              <w:t>2Km</w:t>
            </w:r>
            <w:r>
              <w:rPr>
                <w:rFonts w:hint="eastAsia"/>
                <w:bCs/>
                <w:iCs/>
                <w:color w:val="auto"/>
                <w:sz w:val="24"/>
              </w:rPr>
              <w:t>。详细地理位置见附图</w:t>
            </w:r>
            <w:r>
              <w:rPr>
                <w:bCs/>
                <w:iCs/>
                <w:color w:val="auto"/>
                <w:sz w:val="24"/>
              </w:rPr>
              <w:t>1</w:t>
            </w:r>
            <w:r>
              <w:rPr>
                <w:rFonts w:hint="eastAsia"/>
                <w:bCs/>
                <w:iCs/>
                <w:color w:val="auto"/>
                <w:sz w:val="24"/>
              </w:rPr>
              <w:t>。</w:t>
            </w:r>
          </w:p>
          <w:p>
            <w:pPr>
              <w:spacing w:line="360" w:lineRule="auto"/>
              <w:ind w:firstLine="480"/>
              <w:rPr>
                <w:bCs/>
                <w:iCs/>
                <w:color w:val="auto"/>
                <w:sz w:val="24"/>
              </w:rPr>
            </w:pPr>
            <w:r>
              <w:rPr>
                <w:rFonts w:hint="eastAsia"/>
                <w:bCs/>
                <w:iCs/>
                <w:color w:val="auto"/>
                <w:sz w:val="24"/>
              </w:rPr>
              <w:t>主变容量：</w:t>
            </w:r>
            <w:r>
              <w:rPr>
                <w:bCs/>
                <w:iCs/>
                <w:color w:val="auto"/>
                <w:sz w:val="24"/>
              </w:rPr>
              <w:t>2×63MVA</w:t>
            </w:r>
            <w:r>
              <w:rPr>
                <w:rFonts w:hint="eastAsia"/>
                <w:bCs/>
                <w:iCs/>
                <w:color w:val="auto"/>
                <w:sz w:val="24"/>
              </w:rPr>
              <w:t>。</w:t>
            </w:r>
          </w:p>
          <w:p>
            <w:pPr>
              <w:spacing w:line="360" w:lineRule="auto"/>
              <w:ind w:firstLine="480"/>
              <w:rPr>
                <w:bCs/>
                <w:iCs/>
                <w:color w:val="auto"/>
                <w:sz w:val="24"/>
              </w:rPr>
            </w:pPr>
            <w:r>
              <w:rPr>
                <w:rFonts w:hint="eastAsia"/>
                <w:bCs/>
                <w:iCs/>
                <w:color w:val="auto"/>
                <w:sz w:val="24"/>
              </w:rPr>
              <w:t>出线规模：</w:t>
            </w:r>
            <w:r>
              <w:rPr>
                <w:bCs/>
                <w:iCs/>
                <w:color w:val="auto"/>
                <w:sz w:val="24"/>
              </w:rPr>
              <w:t>110kV</w:t>
            </w:r>
            <w:r>
              <w:rPr>
                <w:rFonts w:hint="eastAsia"/>
                <w:bCs/>
                <w:iCs/>
                <w:color w:val="auto"/>
                <w:sz w:val="24"/>
              </w:rPr>
              <w:t>出线</w:t>
            </w:r>
            <w:r>
              <w:rPr>
                <w:bCs/>
                <w:iCs/>
                <w:color w:val="auto"/>
                <w:sz w:val="24"/>
              </w:rPr>
              <w:t>1</w:t>
            </w:r>
            <w:r>
              <w:rPr>
                <w:rFonts w:hint="eastAsia"/>
                <w:bCs/>
                <w:iCs/>
                <w:color w:val="auto"/>
                <w:sz w:val="24"/>
              </w:rPr>
              <w:t>回；</w:t>
            </w:r>
            <w:r>
              <w:rPr>
                <w:bCs/>
                <w:iCs/>
                <w:color w:val="auto"/>
                <w:sz w:val="24"/>
              </w:rPr>
              <w:t>10kV</w:t>
            </w:r>
            <w:r>
              <w:rPr>
                <w:rFonts w:hint="eastAsia"/>
                <w:bCs/>
                <w:iCs/>
                <w:color w:val="auto"/>
                <w:sz w:val="24"/>
              </w:rPr>
              <w:t>出线</w:t>
            </w:r>
            <w:r>
              <w:rPr>
                <w:bCs/>
                <w:iCs/>
                <w:color w:val="auto"/>
                <w:sz w:val="24"/>
              </w:rPr>
              <w:t>20</w:t>
            </w:r>
            <w:r>
              <w:rPr>
                <w:rFonts w:hint="eastAsia"/>
                <w:bCs/>
                <w:iCs/>
                <w:color w:val="auto"/>
                <w:sz w:val="24"/>
              </w:rPr>
              <w:t>回。</w:t>
            </w:r>
          </w:p>
          <w:p>
            <w:pPr>
              <w:spacing w:line="360" w:lineRule="auto"/>
              <w:ind w:firstLine="480"/>
              <w:rPr>
                <w:bCs/>
                <w:iCs/>
                <w:color w:val="auto"/>
                <w:sz w:val="24"/>
              </w:rPr>
            </w:pPr>
            <w:r>
              <w:rPr>
                <w:rFonts w:hint="eastAsia"/>
                <w:bCs/>
                <w:iCs/>
                <w:color w:val="auto"/>
                <w:sz w:val="24"/>
              </w:rPr>
              <w:t>无功补偿：</w:t>
            </w:r>
            <w:r>
              <w:rPr>
                <w:bCs/>
                <w:iCs/>
                <w:color w:val="auto"/>
                <w:sz w:val="24"/>
              </w:rPr>
              <w:t>2×2×5Mvar</w:t>
            </w:r>
            <w:r>
              <w:rPr>
                <w:rFonts w:hint="eastAsia"/>
                <w:bCs/>
                <w:iCs/>
                <w:color w:val="auto"/>
                <w:sz w:val="24"/>
              </w:rPr>
              <w:t>。</w:t>
            </w:r>
          </w:p>
          <w:p>
            <w:pPr>
              <w:spacing w:line="360" w:lineRule="auto"/>
              <w:ind w:firstLine="480"/>
              <w:rPr>
                <w:bCs/>
                <w:iCs/>
                <w:color w:val="auto"/>
                <w:sz w:val="24"/>
              </w:rPr>
            </w:pPr>
            <w:r>
              <w:rPr>
                <w:rFonts w:hint="eastAsia"/>
                <w:bCs/>
                <w:iCs/>
                <w:color w:val="auto"/>
                <w:sz w:val="24"/>
              </w:rPr>
              <w:t>设置事故油池</w:t>
            </w:r>
            <w:r>
              <w:rPr>
                <w:bCs/>
                <w:iCs/>
                <w:color w:val="auto"/>
                <w:sz w:val="24"/>
              </w:rPr>
              <w:t>1</w:t>
            </w:r>
            <w:r>
              <w:rPr>
                <w:rFonts w:hint="eastAsia"/>
                <w:bCs/>
                <w:iCs/>
                <w:color w:val="auto"/>
                <w:sz w:val="24"/>
              </w:rPr>
              <w:t>座，有效容积</w:t>
            </w:r>
            <w:r>
              <w:rPr>
                <w:rFonts w:hint="eastAsia" w:eastAsiaTheme="minorEastAsia"/>
                <w:color w:val="auto"/>
                <w:szCs w:val="21"/>
              </w:rPr>
              <w:t>为</w:t>
            </w:r>
            <w:r>
              <w:rPr>
                <w:rFonts w:eastAsiaTheme="minorEastAsia"/>
                <w:color w:val="auto"/>
                <w:szCs w:val="21"/>
              </w:rPr>
              <w:t>25</w:t>
            </w:r>
            <w:r>
              <w:rPr>
                <w:bCs/>
                <w:iCs/>
                <w:color w:val="auto"/>
                <w:sz w:val="24"/>
              </w:rPr>
              <w:t>m</w:t>
            </w:r>
            <w:r>
              <w:rPr>
                <w:bCs/>
                <w:iCs/>
                <w:color w:val="auto"/>
                <w:sz w:val="24"/>
                <w:vertAlign w:val="superscript"/>
              </w:rPr>
              <w:t>3</w:t>
            </w:r>
            <w:r>
              <w:rPr>
                <w:rFonts w:hint="eastAsia"/>
                <w:bCs/>
                <w:iCs/>
                <w:color w:val="auto"/>
                <w:sz w:val="24"/>
              </w:rPr>
              <w:t>。</w:t>
            </w:r>
          </w:p>
          <w:p>
            <w:pPr>
              <w:spacing w:line="360" w:lineRule="auto"/>
              <w:rPr>
                <w:b/>
                <w:bCs/>
                <w:iCs/>
                <w:color w:val="auto"/>
                <w:sz w:val="24"/>
              </w:rPr>
            </w:pPr>
            <w:r>
              <w:rPr>
                <w:b/>
                <w:bCs/>
                <w:iCs/>
                <w:color w:val="auto"/>
                <w:sz w:val="24"/>
              </w:rPr>
              <w:t xml:space="preserve">1.2.4 </w:t>
            </w:r>
            <w:r>
              <w:rPr>
                <w:rFonts w:hint="eastAsia"/>
                <w:b/>
                <w:bCs/>
                <w:iCs/>
                <w:color w:val="auto"/>
                <w:sz w:val="24"/>
              </w:rPr>
              <w:t>总平面布置</w:t>
            </w:r>
          </w:p>
          <w:p>
            <w:pPr>
              <w:autoSpaceDE w:val="0"/>
              <w:autoSpaceDN w:val="0"/>
              <w:adjustRightInd w:val="0"/>
              <w:spacing w:line="360" w:lineRule="auto"/>
              <w:ind w:firstLine="600" w:firstLineChars="250"/>
              <w:rPr>
                <w:bCs/>
                <w:iCs/>
                <w:color w:val="auto"/>
                <w:sz w:val="24"/>
              </w:rPr>
            </w:pPr>
            <w:r>
              <w:rPr>
                <w:rFonts w:hint="eastAsia"/>
                <w:bCs/>
                <w:iCs/>
                <w:color w:val="auto"/>
                <w:sz w:val="24"/>
              </w:rPr>
              <w:t>本工程位于儒林</w:t>
            </w:r>
            <w:r>
              <w:rPr>
                <w:bCs/>
                <w:iCs/>
                <w:color w:val="auto"/>
                <w:sz w:val="24"/>
              </w:rPr>
              <w:t>220kV</w:t>
            </w:r>
            <w:r>
              <w:rPr>
                <w:rFonts w:hint="eastAsia"/>
                <w:bCs/>
                <w:iCs/>
                <w:color w:val="auto"/>
                <w:sz w:val="24"/>
              </w:rPr>
              <w:t>变电站西侧，为储能装置和变电站合并的储能电站，围墙尺寸</w:t>
            </w:r>
            <w:r>
              <w:rPr>
                <w:bCs/>
                <w:iCs/>
                <w:color w:val="auto"/>
                <w:sz w:val="24"/>
              </w:rPr>
              <w:t>140.5m×86.9m</w:t>
            </w:r>
            <w:r>
              <w:rPr>
                <w:rFonts w:hint="eastAsia"/>
                <w:bCs/>
                <w:iCs/>
                <w:color w:val="auto"/>
                <w:sz w:val="24"/>
              </w:rPr>
              <w:t>，围墙内面积</w:t>
            </w:r>
            <w:r>
              <w:rPr>
                <w:bCs/>
                <w:iCs/>
                <w:color w:val="auto"/>
                <w:sz w:val="24"/>
              </w:rPr>
              <w:t>12209.45m</w:t>
            </w:r>
            <w:r>
              <w:rPr>
                <w:bCs/>
                <w:iCs/>
                <w:color w:val="auto"/>
                <w:sz w:val="24"/>
                <w:vertAlign w:val="superscript"/>
              </w:rPr>
              <w:t>2</w:t>
            </w:r>
            <w:r>
              <w:rPr>
                <w:rFonts w:hint="eastAsia"/>
                <w:bCs/>
                <w:iCs/>
                <w:color w:val="auto"/>
                <w:sz w:val="24"/>
              </w:rPr>
              <w:t>，</w:t>
            </w:r>
            <w:r>
              <w:rPr>
                <w:rFonts w:hint="eastAsia"/>
                <w:color w:val="auto"/>
                <w:kern w:val="0"/>
                <w:sz w:val="24"/>
                <w:szCs w:val="24"/>
              </w:rPr>
              <w:t>整个场地由电池舱及</w:t>
            </w:r>
            <w:r>
              <w:rPr>
                <w:rFonts w:eastAsia="TimesNewRomanPSMT"/>
                <w:color w:val="auto"/>
                <w:kern w:val="0"/>
                <w:sz w:val="24"/>
                <w:szCs w:val="24"/>
              </w:rPr>
              <w:t xml:space="preserve">PCS </w:t>
            </w:r>
            <w:r>
              <w:rPr>
                <w:rFonts w:hint="eastAsia"/>
                <w:color w:val="auto"/>
                <w:kern w:val="0"/>
                <w:sz w:val="24"/>
                <w:szCs w:val="24"/>
              </w:rPr>
              <w:t>舱组成储能区域分三列布置；升压变电站布置在场地南侧和动力变区域布置在电池舱及升压站之间，采用全户内布置方式；公共区域布置在升压变电站南侧，进站道路从站区南侧的儒林</w:t>
            </w:r>
            <w:r>
              <w:rPr>
                <w:rFonts w:eastAsia="TimesNewRomanPSMT"/>
                <w:color w:val="auto"/>
                <w:kern w:val="0"/>
                <w:sz w:val="24"/>
                <w:szCs w:val="24"/>
              </w:rPr>
              <w:t xml:space="preserve">220kV </w:t>
            </w:r>
            <w:r>
              <w:rPr>
                <w:rFonts w:hint="eastAsia"/>
                <w:color w:val="auto"/>
                <w:kern w:val="0"/>
                <w:sz w:val="24"/>
                <w:szCs w:val="24"/>
              </w:rPr>
              <w:t>变电站进站道路上引接。</w:t>
            </w:r>
            <w:r>
              <w:rPr>
                <w:rFonts w:hint="eastAsia"/>
                <w:bCs/>
                <w:iCs/>
                <w:color w:val="auto"/>
                <w:sz w:val="24"/>
              </w:rPr>
              <w:t>站区西南侧布置水泵房与警卫室以及地下消防水池，事故油池一座。</w:t>
            </w:r>
          </w:p>
          <w:p>
            <w:pPr>
              <w:autoSpaceDE w:val="0"/>
              <w:autoSpaceDN w:val="0"/>
              <w:adjustRightInd w:val="0"/>
              <w:spacing w:line="360" w:lineRule="auto"/>
              <w:ind w:firstLine="600" w:firstLineChars="250"/>
              <w:rPr>
                <w:bCs/>
                <w:iCs/>
                <w:color w:val="auto"/>
                <w:sz w:val="24"/>
              </w:rPr>
            </w:pPr>
            <w:r>
              <w:rPr>
                <w:rFonts w:hint="eastAsia"/>
                <w:bCs/>
                <w:iCs/>
                <w:color w:val="auto"/>
                <w:sz w:val="24"/>
              </w:rPr>
              <w:t>站址进站路由儒林</w:t>
            </w:r>
            <w:r>
              <w:rPr>
                <w:bCs/>
                <w:iCs/>
                <w:color w:val="auto"/>
                <w:sz w:val="24"/>
              </w:rPr>
              <w:t>220kV</w:t>
            </w:r>
            <w:r>
              <w:rPr>
                <w:rFonts w:hint="eastAsia"/>
                <w:bCs/>
                <w:iCs/>
                <w:color w:val="auto"/>
                <w:sz w:val="24"/>
              </w:rPr>
              <w:t>变电站进站道路引接，公路型道路，进站道路路面宽度</w:t>
            </w:r>
            <w:r>
              <w:rPr>
                <w:bCs/>
                <w:iCs/>
                <w:color w:val="auto"/>
                <w:sz w:val="24"/>
              </w:rPr>
              <w:t>4.0m</w:t>
            </w:r>
            <w:r>
              <w:rPr>
                <w:rFonts w:hint="eastAsia"/>
                <w:bCs/>
                <w:iCs/>
                <w:color w:val="auto"/>
                <w:sz w:val="24"/>
              </w:rPr>
              <w:t>。变电站站内设</w:t>
            </w:r>
            <w:r>
              <w:rPr>
                <w:bCs/>
                <w:iCs/>
                <w:color w:val="auto"/>
                <w:sz w:val="24"/>
              </w:rPr>
              <w:t>4m</w:t>
            </w:r>
            <w:r>
              <w:rPr>
                <w:rFonts w:hint="eastAsia"/>
                <w:bCs/>
                <w:iCs/>
                <w:color w:val="auto"/>
                <w:sz w:val="24"/>
              </w:rPr>
              <w:t>宽消防环道兼做主变运输道路，环绕配电装置楼，转弯半径</w:t>
            </w:r>
            <w:r>
              <w:rPr>
                <w:bCs/>
                <w:iCs/>
                <w:color w:val="auto"/>
                <w:sz w:val="24"/>
              </w:rPr>
              <w:t>9m</w:t>
            </w:r>
            <w:r>
              <w:rPr>
                <w:rFonts w:hint="eastAsia"/>
                <w:bCs/>
                <w:iCs/>
                <w:color w:val="auto"/>
                <w:sz w:val="24"/>
              </w:rPr>
              <w:t>；站内路面采用公路型道路，路面宽度</w:t>
            </w:r>
            <w:r>
              <w:rPr>
                <w:bCs/>
                <w:iCs/>
                <w:color w:val="auto"/>
                <w:sz w:val="24"/>
              </w:rPr>
              <w:t>4.0m</w:t>
            </w:r>
            <w:r>
              <w:rPr>
                <w:rFonts w:hint="eastAsia"/>
                <w:bCs/>
                <w:iCs/>
                <w:color w:val="auto"/>
                <w:sz w:val="24"/>
              </w:rPr>
              <w:t>，转弯半径</w:t>
            </w:r>
            <w:r>
              <w:rPr>
                <w:bCs/>
                <w:iCs/>
                <w:color w:val="auto"/>
                <w:sz w:val="24"/>
              </w:rPr>
              <w:t>12.0m</w:t>
            </w:r>
            <w:r>
              <w:rPr>
                <w:rFonts w:hint="eastAsia"/>
                <w:bCs/>
                <w:iCs/>
                <w:color w:val="auto"/>
                <w:sz w:val="24"/>
              </w:rPr>
              <w:t>，站内均高出场地</w:t>
            </w:r>
            <w:r>
              <w:rPr>
                <w:bCs/>
                <w:iCs/>
                <w:color w:val="auto"/>
                <w:sz w:val="24"/>
              </w:rPr>
              <w:t>100mm</w:t>
            </w:r>
            <w:r>
              <w:rPr>
                <w:rFonts w:hint="eastAsia"/>
                <w:bCs/>
                <w:iCs/>
                <w:color w:val="auto"/>
                <w:sz w:val="24"/>
              </w:rPr>
              <w:t>。大门采用</w:t>
            </w:r>
            <w:r>
              <w:rPr>
                <w:bCs/>
                <w:iCs/>
                <w:color w:val="auto"/>
                <w:sz w:val="24"/>
              </w:rPr>
              <w:t>2.3m</w:t>
            </w:r>
            <w:r>
              <w:rPr>
                <w:rFonts w:hint="eastAsia"/>
                <w:bCs/>
                <w:iCs/>
                <w:color w:val="auto"/>
                <w:sz w:val="24"/>
              </w:rPr>
              <w:t>高、</w:t>
            </w:r>
            <w:r>
              <w:rPr>
                <w:bCs/>
                <w:iCs/>
                <w:color w:val="auto"/>
                <w:sz w:val="24"/>
              </w:rPr>
              <w:t>6.0m</w:t>
            </w:r>
            <w:r>
              <w:rPr>
                <w:rFonts w:hint="eastAsia"/>
                <w:bCs/>
                <w:iCs/>
                <w:color w:val="auto"/>
                <w:sz w:val="24"/>
              </w:rPr>
              <w:t>宽平开大门，站区采用</w:t>
            </w:r>
            <w:r>
              <w:rPr>
                <w:bCs/>
                <w:iCs/>
                <w:color w:val="auto"/>
                <w:sz w:val="24"/>
              </w:rPr>
              <w:t>2.3m</w:t>
            </w:r>
            <w:r>
              <w:rPr>
                <w:rFonts w:hint="eastAsia"/>
                <w:bCs/>
                <w:iCs/>
                <w:color w:val="auto"/>
                <w:sz w:val="24"/>
              </w:rPr>
              <w:t>高大砌块实体围墙。进站道路及站内道路均采用混凝土路面，按四级厂矿道路标准设计。站区空隙场地采用碎石地坪。站内功能分区明确合理</w:t>
            </w:r>
            <w:r>
              <w:rPr>
                <w:bCs/>
                <w:iCs/>
                <w:color w:val="auto"/>
                <w:sz w:val="24"/>
              </w:rPr>
              <w:t>,</w:t>
            </w:r>
            <w:r>
              <w:rPr>
                <w:rFonts w:hint="eastAsia"/>
                <w:bCs/>
                <w:iCs/>
                <w:color w:val="auto"/>
                <w:sz w:val="24"/>
              </w:rPr>
              <w:t>布置紧凑，工艺衔接流畅，交通运输方便。总平面布置图见附图</w:t>
            </w:r>
            <w:r>
              <w:rPr>
                <w:bCs/>
                <w:iCs/>
                <w:color w:val="auto"/>
                <w:sz w:val="24"/>
              </w:rPr>
              <w:t>2</w:t>
            </w:r>
            <w:r>
              <w:rPr>
                <w:rFonts w:hint="eastAsia"/>
                <w:bCs/>
                <w:iCs/>
                <w:color w:val="auto"/>
                <w:sz w:val="24"/>
              </w:rPr>
              <w:t>。</w:t>
            </w:r>
          </w:p>
          <w:p>
            <w:pPr>
              <w:spacing w:line="360" w:lineRule="auto"/>
              <w:rPr>
                <w:b/>
                <w:bCs/>
                <w:iCs/>
                <w:color w:val="auto"/>
                <w:sz w:val="24"/>
              </w:rPr>
            </w:pPr>
            <w:r>
              <w:rPr>
                <w:b/>
                <w:bCs/>
                <w:iCs/>
                <w:color w:val="auto"/>
                <w:sz w:val="24"/>
              </w:rPr>
              <w:t xml:space="preserve">1.2.5 </w:t>
            </w:r>
            <w:r>
              <w:rPr>
                <w:rFonts w:hint="eastAsia"/>
                <w:b/>
                <w:bCs/>
                <w:iCs/>
                <w:color w:val="auto"/>
                <w:sz w:val="24"/>
              </w:rPr>
              <w:t>环保设施及措施</w:t>
            </w:r>
          </w:p>
          <w:p>
            <w:pPr>
              <w:spacing w:line="360" w:lineRule="auto"/>
              <w:ind w:firstLine="470" w:firstLineChars="196"/>
              <w:rPr>
                <w:bCs/>
                <w:iCs/>
                <w:color w:val="auto"/>
                <w:sz w:val="24"/>
              </w:rPr>
            </w:pPr>
            <w:r>
              <w:rPr>
                <w:rFonts w:hint="eastAsia"/>
                <w:bCs/>
                <w:iCs/>
                <w:color w:val="auto"/>
                <w:sz w:val="24"/>
              </w:rPr>
              <w:t>（</w:t>
            </w:r>
            <w:r>
              <w:rPr>
                <w:bCs/>
                <w:iCs/>
                <w:color w:val="auto"/>
                <w:sz w:val="24"/>
              </w:rPr>
              <w:t>1</w:t>
            </w:r>
            <w:r>
              <w:rPr>
                <w:rFonts w:hint="eastAsia"/>
                <w:bCs/>
                <w:iCs/>
                <w:color w:val="auto"/>
                <w:sz w:val="24"/>
              </w:rPr>
              <w:t>）生活污水</w:t>
            </w:r>
          </w:p>
          <w:p>
            <w:pPr>
              <w:spacing w:line="360" w:lineRule="auto"/>
              <w:ind w:firstLine="480" w:firstLineChars="200"/>
              <w:rPr>
                <w:bCs/>
                <w:iCs/>
                <w:color w:val="auto"/>
                <w:sz w:val="24"/>
              </w:rPr>
            </w:pPr>
            <w:r>
              <w:rPr>
                <w:rFonts w:hint="eastAsia"/>
                <w:bCs/>
                <w:iCs/>
                <w:color w:val="auto"/>
                <w:sz w:val="24"/>
              </w:rPr>
              <w:t>本工程储能电站为无人值班站，全站值守人员较少，生活污水经场内化粪池处理后定期清掏。</w:t>
            </w:r>
          </w:p>
          <w:p>
            <w:pPr>
              <w:spacing w:line="360" w:lineRule="auto"/>
              <w:ind w:firstLine="480" w:firstLineChars="200"/>
              <w:rPr>
                <w:bCs/>
                <w:iCs/>
                <w:color w:val="auto"/>
                <w:sz w:val="24"/>
              </w:rPr>
            </w:pPr>
            <w:r>
              <w:rPr>
                <w:rFonts w:hint="eastAsia"/>
                <w:bCs/>
                <w:iCs/>
                <w:color w:val="auto"/>
                <w:sz w:val="24"/>
              </w:rPr>
              <w:t>（</w:t>
            </w:r>
            <w:r>
              <w:rPr>
                <w:bCs/>
                <w:iCs/>
                <w:color w:val="auto"/>
                <w:sz w:val="24"/>
              </w:rPr>
              <w:t>2</w:t>
            </w:r>
            <w:r>
              <w:rPr>
                <w:rFonts w:hint="eastAsia"/>
                <w:bCs/>
                <w:iCs/>
                <w:color w:val="auto"/>
                <w:sz w:val="24"/>
              </w:rPr>
              <w:t>）固体废物</w:t>
            </w:r>
          </w:p>
          <w:p>
            <w:pPr>
              <w:autoSpaceDE w:val="0"/>
              <w:autoSpaceDN w:val="0"/>
              <w:adjustRightInd w:val="0"/>
              <w:spacing w:line="360" w:lineRule="auto"/>
              <w:ind w:firstLine="600" w:firstLineChars="250"/>
              <w:jc w:val="left"/>
              <w:rPr>
                <w:bCs/>
                <w:iCs/>
                <w:color w:val="auto"/>
                <w:sz w:val="24"/>
              </w:rPr>
            </w:pPr>
            <w:r>
              <w:rPr>
                <w:rFonts w:hint="eastAsia"/>
                <w:bCs/>
                <w:iCs/>
                <w:color w:val="auto"/>
                <w:sz w:val="24"/>
              </w:rPr>
              <w:t>变电站日常运行产生的固体废物，主要为值守及检修人员每次巡检时产生的少量生活垃圾以及废旧蓄电池。</w:t>
            </w:r>
          </w:p>
          <w:p>
            <w:pPr>
              <w:autoSpaceDE w:val="0"/>
              <w:autoSpaceDN w:val="0"/>
              <w:adjustRightInd w:val="0"/>
              <w:spacing w:line="360" w:lineRule="auto"/>
              <w:ind w:firstLine="600" w:firstLineChars="250"/>
              <w:jc w:val="left"/>
              <w:rPr>
                <w:bCs/>
                <w:iCs/>
                <w:color w:val="auto"/>
                <w:sz w:val="24"/>
              </w:rPr>
            </w:pPr>
            <w:r>
              <w:rPr>
                <w:rFonts w:hint="eastAsia"/>
                <w:bCs/>
                <w:iCs/>
                <w:color w:val="auto"/>
                <w:sz w:val="24"/>
              </w:rPr>
              <w:t>站内配置有垃圾箱、垃圾桶等固废收集容器，生活垃圾经收集后运至当地垃圾收集站由当地环卫部门统一处理。废旧蓄电池均交由有资质单位处理，不得随意丢弃。</w:t>
            </w:r>
          </w:p>
          <w:p>
            <w:pPr>
              <w:autoSpaceDE w:val="0"/>
              <w:autoSpaceDN w:val="0"/>
              <w:adjustRightInd w:val="0"/>
              <w:spacing w:line="360" w:lineRule="auto"/>
              <w:ind w:firstLine="600" w:firstLineChars="250"/>
              <w:jc w:val="both"/>
              <w:rPr>
                <w:bCs/>
                <w:iCs/>
                <w:color w:val="auto"/>
                <w:sz w:val="24"/>
              </w:rPr>
            </w:pPr>
            <w:r>
              <w:rPr>
                <w:rFonts w:hint="eastAsia"/>
                <w:bCs/>
                <w:iCs/>
                <w:color w:val="auto"/>
                <w:sz w:val="24"/>
              </w:rPr>
              <w:t>本工程主变压器的油量约</w:t>
            </w:r>
            <w:r>
              <w:rPr>
                <w:bCs/>
                <w:iCs/>
                <w:color w:val="auto"/>
                <w:sz w:val="24"/>
              </w:rPr>
              <w:t>20t</w:t>
            </w:r>
            <w:r>
              <w:rPr>
                <w:rFonts w:hint="eastAsia"/>
                <w:bCs/>
                <w:iCs/>
                <w:color w:val="auto"/>
                <w:sz w:val="24"/>
              </w:rPr>
              <w:t>，根据《火力发电厂与变电站设计防火规范》（</w:t>
            </w:r>
            <w:r>
              <w:rPr>
                <w:bCs/>
                <w:iCs/>
                <w:color w:val="auto"/>
                <w:sz w:val="24"/>
              </w:rPr>
              <w:t>GB50229-2019</w:t>
            </w:r>
            <w:r>
              <w:rPr>
                <w:rFonts w:hint="eastAsia"/>
                <w:bCs/>
                <w:iCs/>
                <w:color w:val="auto"/>
                <w:sz w:val="24"/>
              </w:rPr>
              <w:t>）中“总事故贮油池的容量应按其接入的油量最大的一台设备确定”规</w:t>
            </w:r>
          </w:p>
          <w:p>
            <w:pPr>
              <w:autoSpaceDE w:val="0"/>
              <w:autoSpaceDN w:val="0"/>
              <w:adjustRightInd w:val="0"/>
              <w:spacing w:line="360" w:lineRule="auto"/>
              <w:jc w:val="left"/>
              <w:rPr>
                <w:bCs/>
                <w:iCs/>
                <w:color w:val="auto"/>
                <w:sz w:val="24"/>
              </w:rPr>
            </w:pPr>
            <w:r>
              <w:rPr>
                <w:rFonts w:hint="eastAsia"/>
                <w:bCs/>
                <w:iCs/>
                <w:color w:val="auto"/>
                <w:sz w:val="24"/>
              </w:rPr>
              <w:t>定，设置事故油池</w:t>
            </w:r>
            <w:r>
              <w:rPr>
                <w:bCs/>
                <w:iCs/>
                <w:color w:val="auto"/>
                <w:sz w:val="24"/>
              </w:rPr>
              <w:t>1</w:t>
            </w:r>
            <w:r>
              <w:rPr>
                <w:rFonts w:hint="eastAsia"/>
                <w:bCs/>
                <w:iCs/>
                <w:color w:val="auto"/>
                <w:sz w:val="24"/>
              </w:rPr>
              <w:t>座，有效容积为</w:t>
            </w:r>
            <w:r>
              <w:rPr>
                <w:bCs/>
                <w:iCs/>
                <w:color w:val="auto"/>
                <w:sz w:val="24"/>
              </w:rPr>
              <w:t>25m</w:t>
            </w:r>
            <w:r>
              <w:rPr>
                <w:bCs/>
                <w:iCs/>
                <w:color w:val="auto"/>
                <w:sz w:val="24"/>
                <w:vertAlign w:val="superscript"/>
              </w:rPr>
              <w:t>3</w:t>
            </w:r>
            <w:r>
              <w:rPr>
                <w:rFonts w:hint="eastAsia"/>
                <w:bCs/>
                <w:iCs/>
                <w:color w:val="auto"/>
                <w:sz w:val="24"/>
              </w:rPr>
              <w:t>；主变压器下方设置有卵石层和储油坑，通过事故排油管与事故油池相连，用于收集事故状态下事故排油。</w:t>
            </w:r>
          </w:p>
          <w:p>
            <w:pPr>
              <w:spacing w:line="360" w:lineRule="auto"/>
              <w:ind w:firstLine="480" w:firstLineChars="200"/>
              <w:rPr>
                <w:bCs/>
                <w:iCs/>
                <w:color w:val="auto"/>
                <w:sz w:val="24"/>
              </w:rPr>
            </w:pPr>
            <w:r>
              <w:rPr>
                <w:rFonts w:hint="eastAsia"/>
                <w:bCs/>
                <w:iCs/>
                <w:color w:val="auto"/>
                <w:sz w:val="24"/>
              </w:rPr>
              <w:t>（</w:t>
            </w:r>
            <w:r>
              <w:rPr>
                <w:bCs/>
                <w:iCs/>
                <w:color w:val="auto"/>
                <w:sz w:val="24"/>
              </w:rPr>
              <w:t>3</w:t>
            </w:r>
            <w:r>
              <w:rPr>
                <w:rFonts w:hint="eastAsia"/>
                <w:bCs/>
                <w:iCs/>
                <w:color w:val="auto"/>
                <w:sz w:val="24"/>
              </w:rPr>
              <w:t>）生态环境</w:t>
            </w:r>
          </w:p>
          <w:p>
            <w:pPr>
              <w:spacing w:line="360" w:lineRule="auto"/>
              <w:ind w:firstLine="480" w:firstLineChars="200"/>
              <w:rPr>
                <w:bCs/>
                <w:iCs/>
                <w:color w:val="auto"/>
                <w:sz w:val="24"/>
              </w:rPr>
            </w:pPr>
            <w:r>
              <w:rPr>
                <w:rFonts w:hint="eastAsia"/>
                <w:bCs/>
                <w:iCs/>
                <w:color w:val="auto"/>
                <w:sz w:val="24"/>
              </w:rPr>
              <w:t>根据现场踏勘可知，目前场地内用地现状主要为荒草地和林地。</w:t>
            </w:r>
          </w:p>
          <w:p>
            <w:pPr>
              <w:spacing w:line="360" w:lineRule="auto"/>
              <w:rPr>
                <w:b/>
                <w:bCs/>
                <w:iCs/>
                <w:color w:val="auto"/>
                <w:sz w:val="24"/>
              </w:rPr>
            </w:pPr>
            <w:r>
              <w:rPr>
                <w:b/>
                <w:bCs/>
                <w:iCs/>
                <w:color w:val="auto"/>
                <w:sz w:val="24"/>
              </w:rPr>
              <w:t xml:space="preserve">1.2.6 </w:t>
            </w:r>
            <w:r>
              <w:rPr>
                <w:rFonts w:hint="eastAsia"/>
                <w:b/>
                <w:bCs/>
                <w:iCs/>
                <w:color w:val="auto"/>
                <w:sz w:val="24"/>
              </w:rPr>
              <w:t>主要设备清单</w:t>
            </w:r>
          </w:p>
          <w:p>
            <w:pPr>
              <w:autoSpaceDE w:val="0"/>
              <w:autoSpaceDN w:val="0"/>
              <w:adjustRightInd w:val="0"/>
              <w:spacing w:line="360" w:lineRule="auto"/>
              <w:ind w:firstLine="602" w:firstLineChars="250"/>
              <w:jc w:val="left"/>
              <w:rPr>
                <w:b/>
                <w:bCs/>
                <w:iCs/>
                <w:color w:val="auto"/>
                <w:sz w:val="24"/>
              </w:rPr>
            </w:pPr>
            <w:r>
              <w:rPr>
                <w:rFonts w:hint="eastAsia"/>
                <w:b/>
                <w:bCs/>
                <w:iCs/>
                <w:color w:val="auto"/>
                <w:sz w:val="24"/>
              </w:rPr>
              <w:t>（</w:t>
            </w:r>
            <w:r>
              <w:rPr>
                <w:b/>
                <w:bCs/>
                <w:iCs/>
                <w:color w:val="auto"/>
                <w:sz w:val="24"/>
              </w:rPr>
              <w:t>1</w:t>
            </w:r>
            <w:r>
              <w:rPr>
                <w:rFonts w:hint="eastAsia"/>
                <w:b/>
                <w:bCs/>
                <w:iCs/>
                <w:color w:val="auto"/>
                <w:sz w:val="24"/>
              </w:rPr>
              <w:t>）主变规模</w:t>
            </w:r>
          </w:p>
          <w:p>
            <w:pPr>
              <w:autoSpaceDE w:val="0"/>
              <w:autoSpaceDN w:val="0"/>
              <w:adjustRightInd w:val="0"/>
              <w:spacing w:line="360" w:lineRule="auto"/>
              <w:ind w:firstLine="600" w:firstLineChars="250"/>
              <w:jc w:val="left"/>
              <w:rPr>
                <w:bCs/>
                <w:iCs/>
                <w:color w:val="auto"/>
                <w:sz w:val="24"/>
              </w:rPr>
            </w:pPr>
            <w:r>
              <w:rPr>
                <w:rFonts w:hint="eastAsia"/>
                <w:bCs/>
                <w:iCs/>
                <w:color w:val="auto"/>
                <w:sz w:val="24"/>
              </w:rPr>
              <w:t>本工程容量</w:t>
            </w:r>
            <w:r>
              <w:rPr>
                <w:bCs/>
                <w:iCs/>
                <w:color w:val="auto"/>
                <w:sz w:val="24"/>
              </w:rPr>
              <w:t>100MW/200MWh</w:t>
            </w:r>
            <w:r>
              <w:rPr>
                <w:rFonts w:hint="eastAsia"/>
                <w:bCs/>
                <w:iCs/>
                <w:color w:val="auto"/>
                <w:sz w:val="24"/>
              </w:rPr>
              <w:t>，属于中型电化学储能电站。主变压器选用三相三绕组，户内干式变压器，容量</w:t>
            </w:r>
            <w:r>
              <w:rPr>
                <w:bCs/>
                <w:iCs/>
                <w:color w:val="auto"/>
                <w:sz w:val="24"/>
              </w:rPr>
              <w:t>2500kVA</w:t>
            </w:r>
            <w:r>
              <w:rPr>
                <w:rFonts w:hint="eastAsia"/>
                <w:bCs/>
                <w:iCs/>
                <w:color w:val="auto"/>
                <w:sz w:val="24"/>
              </w:rPr>
              <w:t>，</w:t>
            </w:r>
            <w:r>
              <w:rPr>
                <w:bCs/>
                <w:iCs/>
                <w:color w:val="auto"/>
                <w:sz w:val="24"/>
              </w:rPr>
              <w:t>PCS</w:t>
            </w:r>
            <w:r>
              <w:rPr>
                <w:rFonts w:hint="eastAsia"/>
                <w:bCs/>
                <w:iCs/>
                <w:color w:val="auto"/>
                <w:sz w:val="24"/>
              </w:rPr>
              <w:t>升压一体设备采用户外集装箱形式，集成布置。</w:t>
            </w:r>
          </w:p>
          <w:p>
            <w:pPr>
              <w:autoSpaceDE w:val="0"/>
              <w:autoSpaceDN w:val="0"/>
              <w:adjustRightInd w:val="0"/>
              <w:spacing w:line="360" w:lineRule="auto"/>
              <w:ind w:firstLine="527" w:firstLineChars="250"/>
              <w:jc w:val="center"/>
              <w:rPr>
                <w:b/>
                <w:color w:val="auto"/>
                <w:szCs w:val="21"/>
              </w:rPr>
            </w:pPr>
            <w:r>
              <w:rPr>
                <w:rFonts w:hint="eastAsia"/>
                <w:b/>
                <w:bCs/>
                <w:iCs/>
                <w:color w:val="auto"/>
                <w:szCs w:val="21"/>
              </w:rPr>
              <w:t>表</w:t>
            </w:r>
            <w:r>
              <w:rPr>
                <w:rFonts w:eastAsiaTheme="minorEastAsia"/>
                <w:b/>
                <w:color w:val="auto"/>
                <w:szCs w:val="21"/>
              </w:rPr>
              <w:t xml:space="preserve">1-2  </w:t>
            </w:r>
            <w:r>
              <w:rPr>
                <w:rFonts w:hint="eastAsia"/>
                <w:b/>
                <w:color w:val="auto"/>
                <w:szCs w:val="21"/>
              </w:rPr>
              <w:t>主变压器参数表</w:t>
            </w:r>
          </w:p>
          <w:tbl>
            <w:tblPr>
              <w:tblStyle w:val="86"/>
              <w:tblW w:w="911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27"/>
              <w:gridCol w:w="2268"/>
              <w:gridCol w:w="1560"/>
              <w:gridCol w:w="3402"/>
              <w:gridCol w:w="7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127" w:type="dxa"/>
                  <w:vMerge w:val="restart"/>
                  <w:vAlign w:val="center"/>
                </w:tcPr>
                <w:p>
                  <w:pPr>
                    <w:jc w:val="center"/>
                    <w:rPr>
                      <w:color w:val="auto"/>
                      <w:szCs w:val="21"/>
                    </w:rPr>
                  </w:pPr>
                  <w:r>
                    <w:rPr>
                      <w:rFonts w:hint="eastAsia"/>
                      <w:color w:val="auto"/>
                      <w:szCs w:val="21"/>
                    </w:rPr>
                    <w:t>主变压器</w:t>
                  </w:r>
                </w:p>
              </w:tc>
              <w:tc>
                <w:tcPr>
                  <w:tcW w:w="2268" w:type="dxa"/>
                  <w:vAlign w:val="center"/>
                </w:tcPr>
                <w:p>
                  <w:pPr>
                    <w:jc w:val="center"/>
                    <w:rPr>
                      <w:color w:val="auto"/>
                      <w:szCs w:val="21"/>
                    </w:rPr>
                  </w:pPr>
                  <w:r>
                    <w:rPr>
                      <w:rFonts w:hint="eastAsia"/>
                      <w:color w:val="auto"/>
                      <w:szCs w:val="21"/>
                    </w:rPr>
                    <w:t>项目</w:t>
                  </w:r>
                </w:p>
              </w:tc>
              <w:tc>
                <w:tcPr>
                  <w:tcW w:w="4962" w:type="dxa"/>
                  <w:gridSpan w:val="2"/>
                  <w:vAlign w:val="center"/>
                </w:tcPr>
                <w:p>
                  <w:pPr>
                    <w:jc w:val="center"/>
                    <w:rPr>
                      <w:color w:val="auto"/>
                      <w:szCs w:val="21"/>
                    </w:rPr>
                  </w:pPr>
                  <w:r>
                    <w:rPr>
                      <w:rFonts w:hint="eastAsia"/>
                      <w:color w:val="auto"/>
                      <w:szCs w:val="21"/>
                    </w:rPr>
                    <w:t>参数</w:t>
                  </w:r>
                </w:p>
              </w:tc>
              <w:tc>
                <w:tcPr>
                  <w:tcW w:w="756" w:type="dxa"/>
                  <w:vAlign w:val="center"/>
                </w:tcPr>
                <w:p>
                  <w:pPr>
                    <w:jc w:val="center"/>
                    <w:rPr>
                      <w:color w:val="auto"/>
                      <w:szCs w:val="21"/>
                    </w:rPr>
                  </w:pPr>
                  <w:r>
                    <w:rPr>
                      <w:rFonts w:hint="eastAsia"/>
                      <w:color w:val="auto"/>
                      <w:szCs w:val="21"/>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127" w:type="dxa"/>
                  <w:vMerge w:val="continue"/>
                  <w:vAlign w:val="center"/>
                </w:tcPr>
                <w:p>
                  <w:pPr>
                    <w:jc w:val="center"/>
                    <w:rPr>
                      <w:color w:val="auto"/>
                      <w:szCs w:val="21"/>
                    </w:rPr>
                  </w:pPr>
                </w:p>
              </w:tc>
              <w:tc>
                <w:tcPr>
                  <w:tcW w:w="2268" w:type="dxa"/>
                  <w:vAlign w:val="center"/>
                </w:tcPr>
                <w:p>
                  <w:pPr>
                    <w:jc w:val="center"/>
                    <w:rPr>
                      <w:color w:val="auto"/>
                      <w:szCs w:val="21"/>
                    </w:rPr>
                  </w:pPr>
                  <w:r>
                    <w:rPr>
                      <w:rFonts w:hint="eastAsia"/>
                      <w:color w:val="auto"/>
                      <w:szCs w:val="21"/>
                    </w:rPr>
                    <w:t>型式</w:t>
                  </w:r>
                </w:p>
              </w:tc>
              <w:tc>
                <w:tcPr>
                  <w:tcW w:w="4962" w:type="dxa"/>
                  <w:gridSpan w:val="2"/>
                  <w:vAlign w:val="center"/>
                </w:tcPr>
                <w:p>
                  <w:pPr>
                    <w:jc w:val="center"/>
                    <w:rPr>
                      <w:color w:val="auto"/>
                      <w:szCs w:val="21"/>
                    </w:rPr>
                  </w:pPr>
                  <w:r>
                    <w:rPr>
                      <w:rFonts w:hint="eastAsia"/>
                      <w:color w:val="auto"/>
                      <w:szCs w:val="21"/>
                    </w:rPr>
                    <w:t>三相双绕组，油浸式有载调压</w:t>
                  </w:r>
                </w:p>
              </w:tc>
              <w:tc>
                <w:tcPr>
                  <w:tcW w:w="756" w:type="dxa"/>
                  <w:vMerge w:val="restart"/>
                  <w:vAlign w:val="center"/>
                </w:tcPr>
                <w:p>
                  <w:pPr>
                    <w:jc w:val="center"/>
                    <w:rPr>
                      <w:color w:val="auto"/>
                      <w:szCs w:val="21"/>
                    </w:rPr>
                  </w:pPr>
                  <w:r>
                    <w:rPr>
                      <w:color w:val="auto"/>
                      <w:szCs w:val="21"/>
                    </w:rPr>
                    <w:t>2</w:t>
                  </w:r>
                  <w:r>
                    <w:rPr>
                      <w:rFonts w:hint="eastAsia"/>
                      <w:color w:val="auto"/>
                      <w:szCs w:val="21"/>
                    </w:rPr>
                    <w:t>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127" w:type="dxa"/>
                  <w:vMerge w:val="continue"/>
                  <w:vAlign w:val="center"/>
                </w:tcPr>
                <w:p>
                  <w:pPr>
                    <w:jc w:val="center"/>
                    <w:rPr>
                      <w:color w:val="auto"/>
                      <w:szCs w:val="21"/>
                    </w:rPr>
                  </w:pPr>
                </w:p>
              </w:tc>
              <w:tc>
                <w:tcPr>
                  <w:tcW w:w="2268" w:type="dxa"/>
                  <w:vAlign w:val="center"/>
                </w:tcPr>
                <w:p>
                  <w:pPr>
                    <w:jc w:val="center"/>
                    <w:rPr>
                      <w:color w:val="auto"/>
                      <w:szCs w:val="21"/>
                    </w:rPr>
                  </w:pPr>
                  <w:r>
                    <w:rPr>
                      <w:rFonts w:hint="eastAsia"/>
                      <w:color w:val="auto"/>
                      <w:szCs w:val="21"/>
                    </w:rPr>
                    <w:t>相数</w:t>
                  </w:r>
                </w:p>
              </w:tc>
              <w:tc>
                <w:tcPr>
                  <w:tcW w:w="4962" w:type="dxa"/>
                  <w:gridSpan w:val="2"/>
                  <w:vAlign w:val="center"/>
                </w:tcPr>
                <w:p>
                  <w:pPr>
                    <w:jc w:val="center"/>
                    <w:rPr>
                      <w:color w:val="auto"/>
                      <w:szCs w:val="21"/>
                    </w:rPr>
                  </w:pPr>
                  <w:r>
                    <w:rPr>
                      <w:color w:val="auto"/>
                      <w:szCs w:val="21"/>
                    </w:rPr>
                    <w:t>3</w:t>
                  </w:r>
                </w:p>
              </w:tc>
              <w:tc>
                <w:tcPr>
                  <w:tcW w:w="756" w:type="dxa"/>
                  <w:vMerge w:val="continue"/>
                  <w:vAlign w:val="center"/>
                </w:tcPr>
                <w:p>
                  <w:pPr>
                    <w:jc w:val="center"/>
                    <w:rPr>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127" w:type="dxa"/>
                  <w:vMerge w:val="continue"/>
                  <w:vAlign w:val="center"/>
                </w:tcPr>
                <w:p>
                  <w:pPr>
                    <w:jc w:val="center"/>
                    <w:rPr>
                      <w:color w:val="auto"/>
                      <w:szCs w:val="21"/>
                    </w:rPr>
                  </w:pPr>
                </w:p>
              </w:tc>
              <w:tc>
                <w:tcPr>
                  <w:tcW w:w="2268" w:type="dxa"/>
                  <w:vAlign w:val="center"/>
                </w:tcPr>
                <w:p>
                  <w:pPr>
                    <w:jc w:val="center"/>
                    <w:rPr>
                      <w:color w:val="auto"/>
                      <w:szCs w:val="21"/>
                    </w:rPr>
                  </w:pPr>
                  <w:r>
                    <w:rPr>
                      <w:rFonts w:hint="eastAsia"/>
                      <w:color w:val="auto"/>
                      <w:szCs w:val="21"/>
                    </w:rPr>
                    <w:t>额定频率</w:t>
                  </w:r>
                </w:p>
              </w:tc>
              <w:tc>
                <w:tcPr>
                  <w:tcW w:w="4962" w:type="dxa"/>
                  <w:gridSpan w:val="2"/>
                  <w:vAlign w:val="center"/>
                </w:tcPr>
                <w:p>
                  <w:pPr>
                    <w:jc w:val="center"/>
                    <w:rPr>
                      <w:color w:val="auto"/>
                      <w:szCs w:val="21"/>
                    </w:rPr>
                  </w:pPr>
                  <w:r>
                    <w:rPr>
                      <w:color w:val="auto"/>
                      <w:szCs w:val="21"/>
                    </w:rPr>
                    <w:t>50HZ</w:t>
                  </w:r>
                </w:p>
              </w:tc>
              <w:tc>
                <w:tcPr>
                  <w:tcW w:w="756" w:type="dxa"/>
                  <w:vMerge w:val="continue"/>
                  <w:vAlign w:val="center"/>
                </w:tcPr>
                <w:p>
                  <w:pPr>
                    <w:jc w:val="center"/>
                    <w:rPr>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127" w:type="dxa"/>
                  <w:vMerge w:val="continue"/>
                  <w:vAlign w:val="center"/>
                </w:tcPr>
                <w:p>
                  <w:pPr>
                    <w:jc w:val="center"/>
                    <w:rPr>
                      <w:color w:val="auto"/>
                      <w:szCs w:val="21"/>
                    </w:rPr>
                  </w:pPr>
                </w:p>
              </w:tc>
              <w:tc>
                <w:tcPr>
                  <w:tcW w:w="2268" w:type="dxa"/>
                  <w:vAlign w:val="center"/>
                </w:tcPr>
                <w:p>
                  <w:pPr>
                    <w:jc w:val="center"/>
                    <w:rPr>
                      <w:color w:val="auto"/>
                      <w:szCs w:val="21"/>
                    </w:rPr>
                  </w:pPr>
                  <w:r>
                    <w:rPr>
                      <w:rFonts w:hint="eastAsia"/>
                      <w:color w:val="auto"/>
                      <w:szCs w:val="21"/>
                    </w:rPr>
                    <w:t>额定容量</w:t>
                  </w:r>
                </w:p>
              </w:tc>
              <w:tc>
                <w:tcPr>
                  <w:tcW w:w="4962" w:type="dxa"/>
                  <w:gridSpan w:val="2"/>
                  <w:vAlign w:val="center"/>
                </w:tcPr>
                <w:p>
                  <w:pPr>
                    <w:jc w:val="center"/>
                    <w:rPr>
                      <w:color w:val="auto"/>
                      <w:szCs w:val="21"/>
                    </w:rPr>
                  </w:pPr>
                  <w:r>
                    <w:rPr>
                      <w:color w:val="auto"/>
                      <w:szCs w:val="21"/>
                    </w:rPr>
                    <w:t>63MVA</w:t>
                  </w:r>
                </w:p>
              </w:tc>
              <w:tc>
                <w:tcPr>
                  <w:tcW w:w="756" w:type="dxa"/>
                  <w:vMerge w:val="continue"/>
                  <w:vAlign w:val="center"/>
                </w:tcPr>
                <w:p>
                  <w:pPr>
                    <w:jc w:val="center"/>
                    <w:rPr>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127" w:type="dxa"/>
                  <w:vMerge w:val="continue"/>
                  <w:vAlign w:val="center"/>
                </w:tcPr>
                <w:p>
                  <w:pPr>
                    <w:jc w:val="center"/>
                    <w:rPr>
                      <w:color w:val="auto"/>
                      <w:szCs w:val="21"/>
                    </w:rPr>
                  </w:pPr>
                </w:p>
              </w:tc>
              <w:tc>
                <w:tcPr>
                  <w:tcW w:w="2268" w:type="dxa"/>
                  <w:vAlign w:val="center"/>
                </w:tcPr>
                <w:p>
                  <w:pPr>
                    <w:jc w:val="center"/>
                    <w:rPr>
                      <w:color w:val="auto"/>
                      <w:szCs w:val="21"/>
                    </w:rPr>
                  </w:pPr>
                  <w:r>
                    <w:rPr>
                      <w:rFonts w:hint="eastAsia"/>
                      <w:color w:val="auto"/>
                      <w:szCs w:val="21"/>
                    </w:rPr>
                    <w:t>电压组合</w:t>
                  </w:r>
                </w:p>
              </w:tc>
              <w:tc>
                <w:tcPr>
                  <w:tcW w:w="4962" w:type="dxa"/>
                  <w:gridSpan w:val="2"/>
                  <w:vAlign w:val="center"/>
                </w:tcPr>
                <w:p>
                  <w:pPr>
                    <w:jc w:val="center"/>
                    <w:rPr>
                      <w:color w:val="auto"/>
                      <w:szCs w:val="21"/>
                    </w:rPr>
                  </w:pPr>
                  <w:r>
                    <w:rPr>
                      <w:color w:val="auto"/>
                      <w:szCs w:val="21"/>
                    </w:rPr>
                    <w:t>115±8×1.25%/10.5kV</w:t>
                  </w:r>
                </w:p>
              </w:tc>
              <w:tc>
                <w:tcPr>
                  <w:tcW w:w="756" w:type="dxa"/>
                  <w:vMerge w:val="continue"/>
                  <w:vAlign w:val="center"/>
                </w:tcPr>
                <w:p>
                  <w:pPr>
                    <w:jc w:val="center"/>
                    <w:rPr>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127" w:type="dxa"/>
                  <w:vMerge w:val="continue"/>
                  <w:vAlign w:val="center"/>
                </w:tcPr>
                <w:p>
                  <w:pPr>
                    <w:jc w:val="center"/>
                    <w:rPr>
                      <w:color w:val="auto"/>
                      <w:szCs w:val="21"/>
                    </w:rPr>
                  </w:pPr>
                </w:p>
              </w:tc>
              <w:tc>
                <w:tcPr>
                  <w:tcW w:w="2268" w:type="dxa"/>
                  <w:vAlign w:val="center"/>
                </w:tcPr>
                <w:p>
                  <w:pPr>
                    <w:jc w:val="center"/>
                    <w:rPr>
                      <w:color w:val="auto"/>
                      <w:szCs w:val="21"/>
                    </w:rPr>
                  </w:pPr>
                  <w:r>
                    <w:rPr>
                      <w:rFonts w:hint="eastAsia"/>
                      <w:color w:val="auto"/>
                      <w:szCs w:val="21"/>
                    </w:rPr>
                    <w:t>接线组别</w:t>
                  </w:r>
                </w:p>
              </w:tc>
              <w:tc>
                <w:tcPr>
                  <w:tcW w:w="4962" w:type="dxa"/>
                  <w:gridSpan w:val="2"/>
                  <w:vAlign w:val="center"/>
                </w:tcPr>
                <w:p>
                  <w:pPr>
                    <w:jc w:val="center"/>
                    <w:rPr>
                      <w:color w:val="auto"/>
                      <w:szCs w:val="21"/>
                    </w:rPr>
                  </w:pPr>
                  <w:r>
                    <w:rPr>
                      <w:color w:val="auto"/>
                      <w:szCs w:val="21"/>
                    </w:rPr>
                    <w:t>Yn</w:t>
                  </w:r>
                  <w:r>
                    <w:rPr>
                      <w:rFonts w:hint="eastAsia"/>
                      <w:color w:val="auto"/>
                      <w:szCs w:val="21"/>
                    </w:rPr>
                    <w:t>，</w:t>
                  </w:r>
                  <w:r>
                    <w:rPr>
                      <w:color w:val="auto"/>
                      <w:szCs w:val="21"/>
                    </w:rPr>
                    <w:t>D11</w:t>
                  </w:r>
                </w:p>
              </w:tc>
              <w:tc>
                <w:tcPr>
                  <w:tcW w:w="756" w:type="dxa"/>
                  <w:vMerge w:val="continue"/>
                  <w:vAlign w:val="center"/>
                </w:tcPr>
                <w:p>
                  <w:pPr>
                    <w:jc w:val="center"/>
                    <w:rPr>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127" w:type="dxa"/>
                  <w:vMerge w:val="continue"/>
                  <w:vAlign w:val="center"/>
                </w:tcPr>
                <w:p>
                  <w:pPr>
                    <w:jc w:val="center"/>
                    <w:rPr>
                      <w:color w:val="auto"/>
                      <w:szCs w:val="21"/>
                    </w:rPr>
                  </w:pPr>
                </w:p>
              </w:tc>
              <w:tc>
                <w:tcPr>
                  <w:tcW w:w="2268" w:type="dxa"/>
                  <w:vAlign w:val="center"/>
                </w:tcPr>
                <w:p>
                  <w:pPr>
                    <w:jc w:val="center"/>
                    <w:rPr>
                      <w:color w:val="auto"/>
                      <w:szCs w:val="21"/>
                    </w:rPr>
                  </w:pPr>
                  <w:r>
                    <w:rPr>
                      <w:rFonts w:hint="eastAsia"/>
                      <w:color w:val="auto"/>
                      <w:szCs w:val="21"/>
                    </w:rPr>
                    <w:t>使用条件</w:t>
                  </w:r>
                </w:p>
              </w:tc>
              <w:tc>
                <w:tcPr>
                  <w:tcW w:w="4962" w:type="dxa"/>
                  <w:gridSpan w:val="2"/>
                  <w:vAlign w:val="center"/>
                </w:tcPr>
                <w:p>
                  <w:pPr>
                    <w:jc w:val="center"/>
                    <w:rPr>
                      <w:color w:val="auto"/>
                      <w:szCs w:val="21"/>
                    </w:rPr>
                  </w:pPr>
                  <w:r>
                    <w:rPr>
                      <w:rFonts w:hint="eastAsia"/>
                      <w:color w:val="auto"/>
                      <w:szCs w:val="21"/>
                    </w:rPr>
                    <w:t>户内</w:t>
                  </w:r>
                </w:p>
              </w:tc>
              <w:tc>
                <w:tcPr>
                  <w:tcW w:w="756" w:type="dxa"/>
                  <w:vMerge w:val="continue"/>
                  <w:vAlign w:val="center"/>
                </w:tcPr>
                <w:p>
                  <w:pPr>
                    <w:jc w:val="center"/>
                    <w:rPr>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127" w:type="dxa"/>
                  <w:vMerge w:val="continue"/>
                  <w:vAlign w:val="center"/>
                </w:tcPr>
                <w:p>
                  <w:pPr>
                    <w:jc w:val="center"/>
                    <w:rPr>
                      <w:color w:val="auto"/>
                      <w:szCs w:val="21"/>
                    </w:rPr>
                  </w:pPr>
                </w:p>
              </w:tc>
              <w:tc>
                <w:tcPr>
                  <w:tcW w:w="2268" w:type="dxa"/>
                  <w:vAlign w:val="center"/>
                </w:tcPr>
                <w:p>
                  <w:pPr>
                    <w:jc w:val="center"/>
                    <w:rPr>
                      <w:color w:val="auto"/>
                      <w:szCs w:val="21"/>
                    </w:rPr>
                  </w:pPr>
                  <w:r>
                    <w:rPr>
                      <w:rFonts w:hint="eastAsia"/>
                      <w:color w:val="auto"/>
                      <w:szCs w:val="21"/>
                    </w:rPr>
                    <w:t>抗组电压</w:t>
                  </w:r>
                </w:p>
              </w:tc>
              <w:tc>
                <w:tcPr>
                  <w:tcW w:w="4962" w:type="dxa"/>
                  <w:gridSpan w:val="2"/>
                  <w:vAlign w:val="center"/>
                </w:tcPr>
                <w:p>
                  <w:pPr>
                    <w:jc w:val="center"/>
                    <w:rPr>
                      <w:color w:val="auto"/>
                      <w:szCs w:val="21"/>
                    </w:rPr>
                  </w:pPr>
                  <w:r>
                    <w:rPr>
                      <w:color w:val="auto"/>
                      <w:szCs w:val="21"/>
                    </w:rPr>
                    <w:t>Uk</w:t>
                  </w:r>
                  <w:r>
                    <w:rPr>
                      <w:rFonts w:hint="eastAsia"/>
                      <w:color w:val="auto"/>
                      <w:szCs w:val="21"/>
                    </w:rPr>
                    <w:t>％</w:t>
                  </w:r>
                  <w:r>
                    <w:rPr>
                      <w:color w:val="auto"/>
                      <w:szCs w:val="21"/>
                    </w:rPr>
                    <w:t>=10.5</w:t>
                  </w:r>
                </w:p>
              </w:tc>
              <w:tc>
                <w:tcPr>
                  <w:tcW w:w="756" w:type="dxa"/>
                  <w:vMerge w:val="continue"/>
                  <w:vAlign w:val="center"/>
                </w:tcPr>
                <w:p>
                  <w:pPr>
                    <w:jc w:val="center"/>
                    <w:rPr>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1127" w:type="dxa"/>
                  <w:vMerge w:val="continue"/>
                  <w:vAlign w:val="center"/>
                </w:tcPr>
                <w:p>
                  <w:pPr>
                    <w:jc w:val="center"/>
                    <w:rPr>
                      <w:color w:val="auto"/>
                      <w:szCs w:val="21"/>
                    </w:rPr>
                  </w:pPr>
                </w:p>
              </w:tc>
              <w:tc>
                <w:tcPr>
                  <w:tcW w:w="2268" w:type="dxa"/>
                  <w:vAlign w:val="center"/>
                </w:tcPr>
                <w:p>
                  <w:pPr>
                    <w:jc w:val="center"/>
                    <w:rPr>
                      <w:color w:val="auto"/>
                      <w:szCs w:val="21"/>
                    </w:rPr>
                  </w:pPr>
                  <w:r>
                    <w:rPr>
                      <w:rFonts w:hint="eastAsia"/>
                      <w:color w:val="auto"/>
                      <w:szCs w:val="21"/>
                    </w:rPr>
                    <w:t>冷却方式</w:t>
                  </w:r>
                </w:p>
              </w:tc>
              <w:tc>
                <w:tcPr>
                  <w:tcW w:w="4962" w:type="dxa"/>
                  <w:gridSpan w:val="2"/>
                  <w:vAlign w:val="center"/>
                </w:tcPr>
                <w:p>
                  <w:pPr>
                    <w:jc w:val="center"/>
                    <w:rPr>
                      <w:color w:val="auto"/>
                      <w:szCs w:val="21"/>
                    </w:rPr>
                  </w:pPr>
                  <w:r>
                    <w:rPr>
                      <w:rFonts w:hint="eastAsia"/>
                      <w:color w:val="auto"/>
                      <w:szCs w:val="21"/>
                    </w:rPr>
                    <w:t>自然油循环自冷（</w:t>
                  </w:r>
                  <w:r>
                    <w:rPr>
                      <w:color w:val="auto"/>
                      <w:szCs w:val="21"/>
                    </w:rPr>
                    <w:t>ONAN</w:t>
                  </w:r>
                  <w:r>
                    <w:rPr>
                      <w:rFonts w:hint="eastAsia"/>
                      <w:color w:val="auto"/>
                      <w:szCs w:val="21"/>
                    </w:rPr>
                    <w:t>）</w:t>
                  </w:r>
                </w:p>
              </w:tc>
              <w:tc>
                <w:tcPr>
                  <w:tcW w:w="756" w:type="dxa"/>
                  <w:vMerge w:val="continue"/>
                  <w:vAlign w:val="center"/>
                </w:tcPr>
                <w:p>
                  <w:pPr>
                    <w:jc w:val="center"/>
                    <w:rPr>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56" w:hRule="atLeast"/>
                <w:jc w:val="center"/>
              </w:trPr>
              <w:tc>
                <w:tcPr>
                  <w:tcW w:w="1127" w:type="dxa"/>
                  <w:vMerge w:val="continue"/>
                  <w:vAlign w:val="center"/>
                </w:tcPr>
                <w:p>
                  <w:pPr>
                    <w:jc w:val="center"/>
                    <w:rPr>
                      <w:color w:val="auto"/>
                      <w:szCs w:val="21"/>
                    </w:rPr>
                  </w:pPr>
                </w:p>
              </w:tc>
              <w:tc>
                <w:tcPr>
                  <w:tcW w:w="2268" w:type="dxa"/>
                  <w:vAlign w:val="center"/>
                </w:tcPr>
                <w:p>
                  <w:pPr>
                    <w:jc w:val="center"/>
                    <w:rPr>
                      <w:color w:val="auto"/>
                      <w:szCs w:val="21"/>
                    </w:rPr>
                  </w:pPr>
                  <w:r>
                    <w:rPr>
                      <w:rFonts w:hint="eastAsia"/>
                      <w:color w:val="auto"/>
                      <w:szCs w:val="21"/>
                    </w:rPr>
                    <w:t>套管型电流互感器</w:t>
                  </w:r>
                </w:p>
              </w:tc>
              <w:tc>
                <w:tcPr>
                  <w:tcW w:w="1560" w:type="dxa"/>
                  <w:vAlign w:val="center"/>
                </w:tcPr>
                <w:p>
                  <w:pPr>
                    <w:jc w:val="center"/>
                    <w:rPr>
                      <w:color w:val="auto"/>
                      <w:szCs w:val="21"/>
                    </w:rPr>
                  </w:pPr>
                  <w:r>
                    <w:rPr>
                      <w:rFonts w:hint="eastAsia"/>
                      <w:color w:val="auto"/>
                      <w:szCs w:val="21"/>
                    </w:rPr>
                    <w:t>高压中性点</w:t>
                  </w:r>
                </w:p>
              </w:tc>
              <w:tc>
                <w:tcPr>
                  <w:tcW w:w="3402" w:type="dxa"/>
                  <w:vAlign w:val="center"/>
                </w:tcPr>
                <w:p>
                  <w:pPr>
                    <w:jc w:val="center"/>
                    <w:rPr>
                      <w:color w:val="auto"/>
                      <w:szCs w:val="21"/>
                    </w:rPr>
                  </w:pPr>
                  <w:r>
                    <w:rPr>
                      <w:color w:val="auto"/>
                      <w:szCs w:val="21"/>
                    </w:rPr>
                    <w:t>200/5A  5P30/ 5P30</w:t>
                  </w:r>
                </w:p>
              </w:tc>
              <w:tc>
                <w:tcPr>
                  <w:tcW w:w="756" w:type="dxa"/>
                  <w:vMerge w:val="continue"/>
                  <w:vAlign w:val="center"/>
                </w:tcPr>
                <w:p>
                  <w:pPr>
                    <w:jc w:val="center"/>
                    <w:rPr>
                      <w:color w:val="auto"/>
                      <w:szCs w:val="21"/>
                    </w:rPr>
                  </w:pPr>
                </w:p>
              </w:tc>
            </w:tr>
          </w:tbl>
          <w:p>
            <w:pPr>
              <w:spacing w:line="360" w:lineRule="auto"/>
              <w:ind w:firstLine="480" w:firstLineChars="200"/>
              <w:rPr>
                <w:bCs/>
                <w:iCs/>
                <w:color w:val="auto"/>
                <w:sz w:val="24"/>
              </w:rPr>
            </w:pPr>
            <w:r>
              <w:rPr>
                <w:rFonts w:hint="eastAsia"/>
                <w:bCs/>
                <w:iCs/>
                <w:color w:val="auto"/>
                <w:sz w:val="24"/>
              </w:rPr>
              <w:t>本工程</w:t>
            </w:r>
            <w:r>
              <w:rPr>
                <w:bCs/>
                <w:iCs/>
                <w:color w:val="auto"/>
                <w:sz w:val="24"/>
              </w:rPr>
              <w:t>110kV</w:t>
            </w:r>
            <w:r>
              <w:rPr>
                <w:rFonts w:hint="eastAsia"/>
                <w:bCs/>
                <w:iCs/>
                <w:color w:val="auto"/>
                <w:sz w:val="24"/>
              </w:rPr>
              <w:t>主要设备采用户内</w:t>
            </w:r>
            <w:r>
              <w:rPr>
                <w:bCs/>
                <w:iCs/>
                <w:color w:val="auto"/>
                <w:sz w:val="24"/>
              </w:rPr>
              <w:t>GIS</w:t>
            </w:r>
            <w:r>
              <w:rPr>
                <w:rFonts w:hint="eastAsia"/>
                <w:bCs/>
                <w:iCs/>
                <w:color w:val="auto"/>
                <w:sz w:val="24"/>
              </w:rPr>
              <w:t>布置，</w:t>
            </w:r>
            <w:r>
              <w:rPr>
                <w:bCs/>
                <w:iCs/>
                <w:color w:val="auto"/>
                <w:sz w:val="24"/>
              </w:rPr>
              <w:t>10kV</w:t>
            </w:r>
            <w:r>
              <w:rPr>
                <w:rFonts w:hint="eastAsia"/>
                <w:bCs/>
                <w:iCs/>
                <w:color w:val="auto"/>
                <w:sz w:val="24"/>
              </w:rPr>
              <w:t>开关柜选用户内金属铠装移开式开关柜，容性无功补偿装置选用户内框架式成套设备，接地变及消弧线圈装置选用户内干式成套设备。</w:t>
            </w:r>
          </w:p>
          <w:p>
            <w:pPr>
              <w:spacing w:line="360" w:lineRule="auto"/>
              <w:ind w:firstLine="482" w:firstLineChars="200"/>
              <w:rPr>
                <w:b/>
                <w:bCs/>
                <w:iCs/>
                <w:color w:val="auto"/>
                <w:sz w:val="24"/>
              </w:rPr>
            </w:pPr>
            <w:r>
              <w:rPr>
                <w:rFonts w:hint="eastAsia"/>
                <w:b/>
                <w:bCs/>
                <w:iCs/>
                <w:color w:val="auto"/>
                <w:sz w:val="24"/>
              </w:rPr>
              <w:t>（</w:t>
            </w:r>
            <w:r>
              <w:rPr>
                <w:b/>
                <w:bCs/>
                <w:iCs/>
                <w:color w:val="auto"/>
                <w:sz w:val="24"/>
              </w:rPr>
              <w:t>2</w:t>
            </w:r>
            <w:r>
              <w:rPr>
                <w:rFonts w:hint="eastAsia"/>
                <w:b/>
                <w:bCs/>
                <w:iCs/>
                <w:color w:val="auto"/>
                <w:sz w:val="24"/>
              </w:rPr>
              <w:t>）储能站电池</w:t>
            </w:r>
          </w:p>
          <w:p>
            <w:pPr>
              <w:autoSpaceDE w:val="0"/>
              <w:autoSpaceDN w:val="0"/>
              <w:adjustRightInd w:val="0"/>
              <w:spacing w:line="360" w:lineRule="auto"/>
              <w:ind w:firstLine="600" w:firstLineChars="250"/>
              <w:jc w:val="left"/>
              <w:rPr>
                <w:bCs/>
                <w:iCs/>
                <w:color w:val="auto"/>
                <w:sz w:val="24"/>
              </w:rPr>
            </w:pPr>
            <w:r>
              <w:rPr>
                <w:rFonts w:hint="eastAsia"/>
                <w:bCs/>
                <w:iCs/>
                <w:color w:val="auto"/>
                <w:sz w:val="24"/>
              </w:rPr>
              <w:t>根据工可报告，本工程选用磷酸铁锂电池作为本工程的储能介质。储能站设置</w:t>
            </w:r>
            <w:r>
              <w:rPr>
                <w:bCs/>
                <w:iCs/>
                <w:color w:val="auto"/>
                <w:sz w:val="24"/>
              </w:rPr>
              <w:t>4</w:t>
            </w:r>
            <w:r>
              <w:rPr>
                <w:rFonts w:hint="eastAsia"/>
                <w:bCs/>
                <w:iCs/>
                <w:color w:val="auto"/>
                <w:sz w:val="24"/>
              </w:rPr>
              <w:t>台</w:t>
            </w:r>
            <w:r>
              <w:rPr>
                <w:bCs/>
                <w:iCs/>
                <w:color w:val="auto"/>
                <w:sz w:val="24"/>
              </w:rPr>
              <w:t>10kV</w:t>
            </w:r>
            <w:r>
              <w:rPr>
                <w:rFonts w:hint="eastAsia"/>
                <w:bCs/>
                <w:iCs/>
                <w:color w:val="auto"/>
                <w:sz w:val="24"/>
              </w:rPr>
              <w:t>干式站用变，每两个储能区域设置</w:t>
            </w:r>
            <w:r>
              <w:rPr>
                <w:bCs/>
                <w:iCs/>
                <w:color w:val="auto"/>
                <w:sz w:val="24"/>
              </w:rPr>
              <w:t>2</w:t>
            </w:r>
            <w:r>
              <w:rPr>
                <w:rFonts w:hint="eastAsia"/>
                <w:bCs/>
                <w:iCs/>
                <w:color w:val="auto"/>
                <w:sz w:val="24"/>
              </w:rPr>
              <w:t>台容量互为备用的干式站用变压器，型号为</w:t>
            </w:r>
            <w:r>
              <w:rPr>
                <w:bCs/>
                <w:iCs/>
                <w:color w:val="auto"/>
                <w:sz w:val="24"/>
              </w:rPr>
              <w:t>SCB11-1600/10</w:t>
            </w:r>
            <w:r>
              <w:rPr>
                <w:rFonts w:hint="eastAsia"/>
                <w:bCs/>
                <w:iCs/>
                <w:color w:val="auto"/>
                <w:sz w:val="24"/>
              </w:rPr>
              <w:t>，引接于升压站</w:t>
            </w:r>
            <w:r>
              <w:rPr>
                <w:bCs/>
                <w:iCs/>
                <w:color w:val="auto"/>
                <w:sz w:val="24"/>
              </w:rPr>
              <w:t>10kV</w:t>
            </w:r>
            <w:r>
              <w:rPr>
                <w:rFonts w:hint="eastAsia"/>
                <w:bCs/>
                <w:iCs/>
                <w:color w:val="auto"/>
                <w:sz w:val="24"/>
              </w:rPr>
              <w:t>母线，带外壳，站用变容量</w:t>
            </w:r>
            <w:r>
              <w:rPr>
                <w:bCs/>
                <w:iCs/>
                <w:color w:val="auto"/>
                <w:sz w:val="24"/>
              </w:rPr>
              <w:t>1600kVA</w:t>
            </w:r>
            <w:r>
              <w:rPr>
                <w:rFonts w:hint="eastAsia"/>
                <w:bCs/>
                <w:iCs/>
                <w:color w:val="auto"/>
                <w:sz w:val="24"/>
              </w:rPr>
              <w:t>。</w:t>
            </w:r>
          </w:p>
          <w:p>
            <w:pPr>
              <w:autoSpaceDE w:val="0"/>
              <w:autoSpaceDN w:val="0"/>
              <w:adjustRightInd w:val="0"/>
              <w:spacing w:line="360" w:lineRule="auto"/>
              <w:ind w:firstLine="600" w:firstLineChars="250"/>
              <w:jc w:val="left"/>
              <w:rPr>
                <w:bCs/>
                <w:iCs/>
                <w:color w:val="auto"/>
                <w:sz w:val="24"/>
              </w:rPr>
            </w:pPr>
            <w:r>
              <w:rPr>
                <w:rFonts w:hint="eastAsia"/>
                <w:bCs/>
                <w:iCs/>
                <w:color w:val="auto"/>
                <w:sz w:val="24"/>
              </w:rPr>
              <w:t>电池储能系统预制舱内部热量极大，内部设备对温度要求高，每舱设置</w:t>
            </w:r>
            <w:r>
              <w:rPr>
                <w:bCs/>
                <w:iCs/>
                <w:color w:val="auto"/>
                <w:sz w:val="24"/>
              </w:rPr>
              <w:t>4</w:t>
            </w:r>
            <w:r>
              <w:rPr>
                <w:rFonts w:hint="eastAsia"/>
                <w:bCs/>
                <w:iCs/>
                <w:color w:val="auto"/>
                <w:sz w:val="24"/>
              </w:rPr>
              <w:t>台工业级储能舱空调，型号为HVAC20L-R1，平时运行，消除热量，满足温湿度要求，单台制冷量为</w:t>
            </w:r>
            <w:r>
              <w:rPr>
                <w:bCs/>
                <w:iCs/>
                <w:color w:val="auto"/>
                <w:sz w:val="24"/>
              </w:rPr>
              <w:t>12kW</w:t>
            </w:r>
            <w:r>
              <w:rPr>
                <w:rFonts w:hint="eastAsia"/>
                <w:bCs/>
                <w:iCs/>
                <w:color w:val="auto"/>
                <w:sz w:val="24"/>
              </w:rPr>
              <w:t>，空调由厂家配套提供；PCS舱每舱设置2台防爆轴流风机，单台风量为3500m</w:t>
            </w:r>
            <w:r>
              <w:rPr>
                <w:rFonts w:hint="eastAsia"/>
                <w:bCs/>
                <w:iCs/>
                <w:color w:val="auto"/>
                <w:sz w:val="24"/>
                <w:vertAlign w:val="superscript"/>
              </w:rPr>
              <w:t>3</w:t>
            </w:r>
            <w:r>
              <w:rPr>
                <w:rFonts w:hint="eastAsia"/>
                <w:bCs/>
                <w:iCs/>
                <w:color w:val="auto"/>
                <w:sz w:val="24"/>
              </w:rPr>
              <w:t>/h，风机由厂家配套提供。</w:t>
            </w:r>
          </w:p>
          <w:p>
            <w:pPr>
              <w:autoSpaceDE w:val="0"/>
              <w:autoSpaceDN w:val="0"/>
              <w:adjustRightInd w:val="0"/>
              <w:spacing w:line="360" w:lineRule="auto"/>
              <w:ind w:firstLine="527" w:firstLineChars="250"/>
              <w:jc w:val="center"/>
              <w:rPr>
                <w:b/>
                <w:bCs/>
                <w:iCs/>
                <w:color w:val="auto"/>
                <w:szCs w:val="21"/>
              </w:rPr>
            </w:pPr>
            <w:r>
              <w:rPr>
                <w:rFonts w:hint="eastAsia"/>
                <w:b/>
                <w:bCs/>
                <w:iCs/>
                <w:color w:val="auto"/>
                <w:szCs w:val="21"/>
              </w:rPr>
              <w:t>表</w:t>
            </w:r>
            <w:r>
              <w:rPr>
                <w:b/>
                <w:bCs/>
                <w:iCs/>
                <w:color w:val="auto"/>
                <w:szCs w:val="21"/>
              </w:rPr>
              <w:t xml:space="preserve">1-3  </w:t>
            </w:r>
            <w:r>
              <w:rPr>
                <w:rFonts w:hint="eastAsia"/>
                <w:b/>
                <w:bCs/>
                <w:iCs/>
                <w:color w:val="auto"/>
                <w:szCs w:val="21"/>
              </w:rPr>
              <w:t>磷酸铁锂电池电芯主要技术参数表</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833"/>
              <w:gridCol w:w="5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autoSpaceDE w:val="0"/>
                    <w:autoSpaceDN w:val="0"/>
                    <w:adjustRightInd w:val="0"/>
                    <w:jc w:val="center"/>
                    <w:rPr>
                      <w:b/>
                      <w:bCs/>
                      <w:iCs/>
                      <w:color w:val="auto"/>
                      <w:szCs w:val="21"/>
                    </w:rPr>
                  </w:pPr>
                  <w:r>
                    <w:rPr>
                      <w:rFonts w:hint="eastAsia"/>
                      <w:b/>
                      <w:bCs/>
                      <w:iCs/>
                      <w:color w:val="auto"/>
                      <w:szCs w:val="21"/>
                    </w:rPr>
                    <w:t>序号</w:t>
                  </w:r>
                </w:p>
              </w:tc>
              <w:tc>
                <w:tcPr>
                  <w:tcW w:w="2833" w:type="dxa"/>
                </w:tcPr>
                <w:p>
                  <w:pPr>
                    <w:autoSpaceDE w:val="0"/>
                    <w:autoSpaceDN w:val="0"/>
                    <w:adjustRightInd w:val="0"/>
                    <w:jc w:val="center"/>
                    <w:rPr>
                      <w:b/>
                      <w:bCs/>
                      <w:iCs/>
                      <w:color w:val="auto"/>
                      <w:szCs w:val="21"/>
                    </w:rPr>
                  </w:pPr>
                  <w:r>
                    <w:rPr>
                      <w:rFonts w:hint="eastAsia"/>
                      <w:color w:val="auto"/>
                      <w:kern w:val="0"/>
                      <w:szCs w:val="21"/>
                    </w:rPr>
                    <w:t>项目名称</w:t>
                  </w:r>
                </w:p>
              </w:tc>
              <w:tc>
                <w:tcPr>
                  <w:tcW w:w="5576" w:type="dxa"/>
                </w:tcPr>
                <w:p>
                  <w:pPr>
                    <w:autoSpaceDE w:val="0"/>
                    <w:autoSpaceDN w:val="0"/>
                    <w:adjustRightInd w:val="0"/>
                    <w:jc w:val="center"/>
                    <w:rPr>
                      <w:b/>
                      <w:bCs/>
                      <w:iCs/>
                      <w:color w:val="auto"/>
                      <w:szCs w:val="21"/>
                    </w:rPr>
                  </w:pPr>
                  <w:r>
                    <w:rPr>
                      <w:rFonts w:hint="eastAsia"/>
                      <w:b/>
                      <w:bCs/>
                      <w:iCs/>
                      <w:color w:val="auto"/>
                      <w:szCs w:val="21"/>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autoSpaceDE w:val="0"/>
                    <w:autoSpaceDN w:val="0"/>
                    <w:adjustRightInd w:val="0"/>
                    <w:jc w:val="center"/>
                    <w:rPr>
                      <w:b/>
                      <w:bCs/>
                      <w:iCs/>
                      <w:color w:val="auto"/>
                      <w:szCs w:val="21"/>
                    </w:rPr>
                  </w:pPr>
                  <w:r>
                    <w:rPr>
                      <w:b/>
                      <w:bCs/>
                      <w:iCs/>
                      <w:color w:val="auto"/>
                      <w:szCs w:val="21"/>
                    </w:rPr>
                    <w:t>1</w:t>
                  </w:r>
                </w:p>
              </w:tc>
              <w:tc>
                <w:tcPr>
                  <w:tcW w:w="2833" w:type="dxa"/>
                </w:tcPr>
                <w:p>
                  <w:pPr>
                    <w:autoSpaceDE w:val="0"/>
                    <w:autoSpaceDN w:val="0"/>
                    <w:adjustRightInd w:val="0"/>
                    <w:jc w:val="center"/>
                    <w:rPr>
                      <w:b/>
                      <w:bCs/>
                      <w:iCs/>
                      <w:color w:val="auto"/>
                      <w:szCs w:val="21"/>
                    </w:rPr>
                  </w:pPr>
                  <w:r>
                    <w:rPr>
                      <w:rFonts w:hint="eastAsia"/>
                      <w:color w:val="auto"/>
                      <w:kern w:val="0"/>
                      <w:szCs w:val="21"/>
                    </w:rPr>
                    <w:t>标称容量</w:t>
                  </w:r>
                  <w:r>
                    <w:rPr>
                      <w:rFonts w:eastAsia="TimesNewRomanPSMT"/>
                      <w:color w:val="auto"/>
                      <w:kern w:val="0"/>
                      <w:szCs w:val="21"/>
                    </w:rPr>
                    <w:t>(Ah)</w:t>
                  </w:r>
                </w:p>
              </w:tc>
              <w:tc>
                <w:tcPr>
                  <w:tcW w:w="5576" w:type="dxa"/>
                </w:tcPr>
                <w:p>
                  <w:pPr>
                    <w:autoSpaceDE w:val="0"/>
                    <w:autoSpaceDN w:val="0"/>
                    <w:adjustRightInd w:val="0"/>
                    <w:jc w:val="center"/>
                    <w:rPr>
                      <w:b/>
                      <w:bCs/>
                      <w:iCs/>
                      <w:color w:val="auto"/>
                      <w:szCs w:val="21"/>
                    </w:rPr>
                  </w:pPr>
                  <w:r>
                    <w:rPr>
                      <w:rFonts w:hint="eastAsia"/>
                      <w:color w:val="auto"/>
                      <w:kern w:val="0"/>
                      <w:szCs w:val="21"/>
                    </w:rPr>
                    <w:t>不小于</w:t>
                  </w:r>
                  <w:r>
                    <w:rPr>
                      <w:rFonts w:eastAsia="TimesNewRomanPSMT"/>
                      <w:color w:val="auto"/>
                      <w:kern w:val="0"/>
                      <w:szCs w:val="21"/>
                    </w:rPr>
                    <w:t>100Ah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autoSpaceDE w:val="0"/>
                    <w:autoSpaceDN w:val="0"/>
                    <w:adjustRightInd w:val="0"/>
                    <w:jc w:val="center"/>
                    <w:rPr>
                      <w:b/>
                      <w:bCs/>
                      <w:iCs/>
                      <w:color w:val="auto"/>
                      <w:szCs w:val="21"/>
                    </w:rPr>
                  </w:pPr>
                  <w:r>
                    <w:rPr>
                      <w:b/>
                      <w:bCs/>
                      <w:iCs/>
                      <w:color w:val="auto"/>
                      <w:szCs w:val="21"/>
                    </w:rPr>
                    <w:t>2</w:t>
                  </w:r>
                </w:p>
              </w:tc>
              <w:tc>
                <w:tcPr>
                  <w:tcW w:w="2833" w:type="dxa"/>
                </w:tcPr>
                <w:p>
                  <w:pPr>
                    <w:autoSpaceDE w:val="0"/>
                    <w:autoSpaceDN w:val="0"/>
                    <w:adjustRightInd w:val="0"/>
                    <w:jc w:val="center"/>
                    <w:rPr>
                      <w:b/>
                      <w:bCs/>
                      <w:iCs/>
                      <w:color w:val="auto"/>
                      <w:szCs w:val="21"/>
                    </w:rPr>
                  </w:pPr>
                  <w:r>
                    <w:rPr>
                      <w:rFonts w:hint="eastAsia"/>
                      <w:color w:val="auto"/>
                      <w:kern w:val="0"/>
                      <w:szCs w:val="21"/>
                    </w:rPr>
                    <w:t>标称电压</w:t>
                  </w:r>
                  <w:r>
                    <w:rPr>
                      <w:rFonts w:eastAsia="TimesNewRomanPSMT"/>
                      <w:color w:val="auto"/>
                      <w:kern w:val="0"/>
                      <w:szCs w:val="21"/>
                    </w:rPr>
                    <w:t>(V)</w:t>
                  </w:r>
                </w:p>
              </w:tc>
              <w:tc>
                <w:tcPr>
                  <w:tcW w:w="5576" w:type="dxa"/>
                </w:tcPr>
                <w:p>
                  <w:pPr>
                    <w:autoSpaceDE w:val="0"/>
                    <w:autoSpaceDN w:val="0"/>
                    <w:adjustRightInd w:val="0"/>
                    <w:jc w:val="center"/>
                    <w:rPr>
                      <w:b/>
                      <w:bCs/>
                      <w:iCs/>
                      <w:color w:val="auto"/>
                      <w:szCs w:val="21"/>
                    </w:rPr>
                  </w:pPr>
                  <w:r>
                    <w:rPr>
                      <w:rFonts w:eastAsia="TimesNewRomanPSMT"/>
                      <w:color w:val="auto"/>
                      <w:kern w:val="0"/>
                      <w:szCs w:val="21"/>
                    </w:rPr>
                    <w:t>3.2V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autoSpaceDE w:val="0"/>
                    <w:autoSpaceDN w:val="0"/>
                    <w:adjustRightInd w:val="0"/>
                    <w:jc w:val="center"/>
                    <w:rPr>
                      <w:b/>
                      <w:bCs/>
                      <w:iCs/>
                      <w:color w:val="auto"/>
                      <w:szCs w:val="21"/>
                    </w:rPr>
                  </w:pPr>
                  <w:r>
                    <w:rPr>
                      <w:b/>
                      <w:bCs/>
                      <w:iCs/>
                      <w:color w:val="auto"/>
                      <w:szCs w:val="21"/>
                    </w:rPr>
                    <w:t>3</w:t>
                  </w:r>
                </w:p>
              </w:tc>
              <w:tc>
                <w:tcPr>
                  <w:tcW w:w="2833" w:type="dxa"/>
                </w:tcPr>
                <w:p>
                  <w:pPr>
                    <w:autoSpaceDE w:val="0"/>
                    <w:autoSpaceDN w:val="0"/>
                    <w:adjustRightInd w:val="0"/>
                    <w:jc w:val="center"/>
                    <w:rPr>
                      <w:b/>
                      <w:bCs/>
                      <w:iCs/>
                      <w:color w:val="auto"/>
                      <w:szCs w:val="21"/>
                    </w:rPr>
                  </w:pPr>
                  <w:r>
                    <w:rPr>
                      <w:rFonts w:hint="eastAsia"/>
                      <w:color w:val="auto"/>
                      <w:kern w:val="0"/>
                      <w:szCs w:val="21"/>
                    </w:rPr>
                    <w:t>初始充放电能量效率</w:t>
                  </w:r>
                </w:p>
              </w:tc>
              <w:tc>
                <w:tcPr>
                  <w:tcW w:w="5576" w:type="dxa"/>
                </w:tcPr>
                <w:p>
                  <w:pPr>
                    <w:autoSpaceDE w:val="0"/>
                    <w:autoSpaceDN w:val="0"/>
                    <w:adjustRightInd w:val="0"/>
                    <w:jc w:val="center"/>
                    <w:rPr>
                      <w:b/>
                      <w:bCs/>
                      <w:iCs/>
                      <w:color w:val="auto"/>
                      <w:szCs w:val="21"/>
                    </w:rPr>
                  </w:pPr>
                  <w:r>
                    <w:rPr>
                      <w:rFonts w:hint="eastAsia"/>
                      <w:color w:val="auto"/>
                      <w:kern w:val="0"/>
                      <w:szCs w:val="21"/>
                    </w:rPr>
                    <w:t>≥</w:t>
                  </w:r>
                  <w:r>
                    <w:rPr>
                      <w:rFonts w:eastAsia="TimesNewRomanPSMT"/>
                      <w:color w:val="auto"/>
                      <w:kern w:val="0"/>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autoSpaceDE w:val="0"/>
                    <w:autoSpaceDN w:val="0"/>
                    <w:adjustRightInd w:val="0"/>
                    <w:jc w:val="center"/>
                    <w:rPr>
                      <w:b/>
                      <w:bCs/>
                      <w:iCs/>
                      <w:color w:val="auto"/>
                      <w:szCs w:val="21"/>
                    </w:rPr>
                  </w:pPr>
                  <w:r>
                    <w:rPr>
                      <w:b/>
                      <w:bCs/>
                      <w:iCs/>
                      <w:color w:val="auto"/>
                      <w:szCs w:val="21"/>
                    </w:rPr>
                    <w:t>4</w:t>
                  </w:r>
                </w:p>
              </w:tc>
              <w:tc>
                <w:tcPr>
                  <w:tcW w:w="2833" w:type="dxa"/>
                </w:tcPr>
                <w:p>
                  <w:pPr>
                    <w:autoSpaceDE w:val="0"/>
                    <w:autoSpaceDN w:val="0"/>
                    <w:adjustRightInd w:val="0"/>
                    <w:jc w:val="center"/>
                    <w:rPr>
                      <w:b/>
                      <w:bCs/>
                      <w:iCs/>
                      <w:color w:val="auto"/>
                      <w:szCs w:val="21"/>
                    </w:rPr>
                  </w:pPr>
                  <w:r>
                    <w:rPr>
                      <w:rFonts w:hint="eastAsia"/>
                      <w:color w:val="auto"/>
                      <w:kern w:val="0"/>
                      <w:szCs w:val="21"/>
                    </w:rPr>
                    <w:t>循环性能</w:t>
                  </w:r>
                </w:p>
              </w:tc>
              <w:tc>
                <w:tcPr>
                  <w:tcW w:w="5576" w:type="dxa"/>
                </w:tcPr>
                <w:p>
                  <w:pPr>
                    <w:autoSpaceDE w:val="0"/>
                    <w:autoSpaceDN w:val="0"/>
                    <w:adjustRightInd w:val="0"/>
                    <w:jc w:val="center"/>
                    <w:rPr>
                      <w:b/>
                      <w:bCs/>
                      <w:iCs/>
                      <w:color w:val="auto"/>
                      <w:szCs w:val="21"/>
                    </w:rPr>
                  </w:pPr>
                  <w:r>
                    <w:rPr>
                      <w:rFonts w:hint="eastAsia"/>
                      <w:color w:val="auto"/>
                      <w:kern w:val="0"/>
                      <w:szCs w:val="21"/>
                    </w:rPr>
                    <w:t>循环次数达到</w:t>
                  </w:r>
                  <w:r>
                    <w:rPr>
                      <w:rFonts w:eastAsia="TimesNewRomanPSMT"/>
                      <w:color w:val="auto"/>
                      <w:kern w:val="0"/>
                      <w:szCs w:val="21"/>
                    </w:rPr>
                    <w:t>4000</w:t>
                  </w:r>
                  <w:r>
                    <w:rPr>
                      <w:rFonts w:hint="eastAsia"/>
                      <w:color w:val="auto"/>
                      <w:kern w:val="0"/>
                      <w:szCs w:val="21"/>
                    </w:rPr>
                    <w:t>次时，充电能量保持率不少于</w:t>
                  </w:r>
                  <w:r>
                    <w:rPr>
                      <w:rFonts w:eastAsia="TimesNewRomanPSMT"/>
                      <w:color w:val="auto"/>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autoSpaceDE w:val="0"/>
                    <w:autoSpaceDN w:val="0"/>
                    <w:adjustRightInd w:val="0"/>
                    <w:jc w:val="center"/>
                    <w:rPr>
                      <w:b/>
                      <w:bCs/>
                      <w:iCs/>
                      <w:color w:val="auto"/>
                      <w:szCs w:val="21"/>
                    </w:rPr>
                  </w:pPr>
                  <w:r>
                    <w:rPr>
                      <w:b/>
                      <w:bCs/>
                      <w:iCs/>
                      <w:color w:val="auto"/>
                      <w:szCs w:val="21"/>
                    </w:rPr>
                    <w:t>5</w:t>
                  </w:r>
                </w:p>
              </w:tc>
              <w:tc>
                <w:tcPr>
                  <w:tcW w:w="2833" w:type="dxa"/>
                </w:tcPr>
                <w:p>
                  <w:pPr>
                    <w:autoSpaceDE w:val="0"/>
                    <w:autoSpaceDN w:val="0"/>
                    <w:adjustRightInd w:val="0"/>
                    <w:jc w:val="center"/>
                    <w:rPr>
                      <w:b/>
                      <w:bCs/>
                      <w:iCs/>
                      <w:color w:val="auto"/>
                      <w:szCs w:val="21"/>
                    </w:rPr>
                  </w:pPr>
                  <w:r>
                    <w:rPr>
                      <w:rFonts w:hint="eastAsia"/>
                      <w:color w:val="auto"/>
                      <w:kern w:val="0"/>
                      <w:szCs w:val="21"/>
                    </w:rPr>
                    <w:t>能量密度</w:t>
                  </w:r>
                  <w:r>
                    <w:rPr>
                      <w:rFonts w:eastAsia="TimesNewRomanPSMT"/>
                      <w:color w:val="auto"/>
                      <w:kern w:val="0"/>
                      <w:szCs w:val="21"/>
                    </w:rPr>
                    <w:t>(Wh/kg)</w:t>
                  </w:r>
                </w:p>
              </w:tc>
              <w:tc>
                <w:tcPr>
                  <w:tcW w:w="5576" w:type="dxa"/>
                </w:tcPr>
                <w:p>
                  <w:pPr>
                    <w:autoSpaceDE w:val="0"/>
                    <w:autoSpaceDN w:val="0"/>
                    <w:adjustRightInd w:val="0"/>
                    <w:jc w:val="center"/>
                    <w:rPr>
                      <w:b/>
                      <w:bCs/>
                      <w:iCs/>
                      <w:color w:val="auto"/>
                      <w:szCs w:val="21"/>
                    </w:rPr>
                  </w:pPr>
                  <w:r>
                    <w:rPr>
                      <w:rFonts w:eastAsia="TimesNewRomanPSMT"/>
                      <w:color w:val="auto"/>
                      <w:kern w:val="0"/>
                      <w:szCs w:val="21"/>
                    </w:rPr>
                    <w:t>90~280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autoSpaceDE w:val="0"/>
                    <w:autoSpaceDN w:val="0"/>
                    <w:adjustRightInd w:val="0"/>
                    <w:jc w:val="center"/>
                    <w:rPr>
                      <w:b/>
                      <w:bCs/>
                      <w:iCs/>
                      <w:color w:val="auto"/>
                      <w:szCs w:val="21"/>
                    </w:rPr>
                  </w:pPr>
                  <w:r>
                    <w:rPr>
                      <w:b/>
                      <w:bCs/>
                      <w:iCs/>
                      <w:color w:val="auto"/>
                      <w:szCs w:val="21"/>
                    </w:rPr>
                    <w:t>6</w:t>
                  </w:r>
                </w:p>
              </w:tc>
              <w:tc>
                <w:tcPr>
                  <w:tcW w:w="2833" w:type="dxa"/>
                </w:tcPr>
                <w:p>
                  <w:pPr>
                    <w:autoSpaceDE w:val="0"/>
                    <w:autoSpaceDN w:val="0"/>
                    <w:adjustRightInd w:val="0"/>
                    <w:jc w:val="center"/>
                    <w:rPr>
                      <w:b/>
                      <w:bCs/>
                      <w:iCs/>
                      <w:color w:val="auto"/>
                      <w:szCs w:val="21"/>
                    </w:rPr>
                  </w:pPr>
                  <w:r>
                    <w:rPr>
                      <w:rFonts w:hint="eastAsia"/>
                      <w:color w:val="auto"/>
                      <w:kern w:val="0"/>
                      <w:szCs w:val="21"/>
                    </w:rPr>
                    <w:t>功率密度</w:t>
                  </w:r>
                  <w:r>
                    <w:rPr>
                      <w:rFonts w:eastAsia="TimesNewRomanPSMT"/>
                      <w:color w:val="auto"/>
                      <w:kern w:val="0"/>
                      <w:szCs w:val="21"/>
                    </w:rPr>
                    <w:t>(W/kg)</w:t>
                  </w:r>
                </w:p>
              </w:tc>
              <w:tc>
                <w:tcPr>
                  <w:tcW w:w="5576" w:type="dxa"/>
                </w:tcPr>
                <w:p>
                  <w:pPr>
                    <w:autoSpaceDE w:val="0"/>
                    <w:autoSpaceDN w:val="0"/>
                    <w:adjustRightInd w:val="0"/>
                    <w:jc w:val="center"/>
                    <w:rPr>
                      <w:b/>
                      <w:bCs/>
                      <w:iCs/>
                      <w:color w:val="auto"/>
                      <w:szCs w:val="21"/>
                    </w:rPr>
                  </w:pPr>
                  <w:r>
                    <w:rPr>
                      <w:rFonts w:eastAsia="TimesNewRomanPSMT"/>
                      <w:color w:val="auto"/>
                      <w:kern w:val="0"/>
                      <w:szCs w:val="21"/>
                    </w:rPr>
                    <w:t>500~1000</w:t>
                  </w:r>
                </w:p>
              </w:tc>
            </w:tr>
          </w:tbl>
          <w:p>
            <w:pPr>
              <w:autoSpaceDE w:val="0"/>
              <w:autoSpaceDN w:val="0"/>
              <w:adjustRightInd w:val="0"/>
              <w:spacing w:line="360" w:lineRule="auto"/>
              <w:ind w:firstLine="527" w:firstLineChars="250"/>
              <w:jc w:val="center"/>
              <w:rPr>
                <w:b/>
                <w:bCs/>
                <w:iCs/>
                <w:color w:val="auto"/>
                <w:szCs w:val="21"/>
              </w:rPr>
            </w:pPr>
            <w:r>
              <w:rPr>
                <w:rFonts w:hint="eastAsia"/>
                <w:b/>
                <w:bCs/>
                <w:iCs/>
                <w:color w:val="auto"/>
                <w:szCs w:val="21"/>
              </w:rPr>
              <w:t>表</w:t>
            </w:r>
            <w:r>
              <w:rPr>
                <w:b/>
                <w:bCs/>
                <w:iCs/>
                <w:color w:val="auto"/>
                <w:szCs w:val="21"/>
              </w:rPr>
              <w:t xml:space="preserve">1-4  </w:t>
            </w:r>
            <w:r>
              <w:rPr>
                <w:rFonts w:hint="eastAsia"/>
                <w:b/>
                <w:bCs/>
                <w:iCs/>
                <w:color w:val="auto"/>
                <w:szCs w:val="21"/>
              </w:rPr>
              <w:t>电池模块主要技术参数表</w:t>
            </w:r>
          </w:p>
          <w:tbl>
            <w:tblPr>
              <w:tblStyle w:val="8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833"/>
              <w:gridCol w:w="5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autoSpaceDE w:val="0"/>
                    <w:autoSpaceDN w:val="0"/>
                    <w:adjustRightInd w:val="0"/>
                    <w:jc w:val="center"/>
                    <w:rPr>
                      <w:b/>
                      <w:bCs/>
                      <w:iCs/>
                      <w:color w:val="auto"/>
                      <w:szCs w:val="21"/>
                    </w:rPr>
                  </w:pPr>
                  <w:r>
                    <w:rPr>
                      <w:rFonts w:hint="eastAsia"/>
                      <w:b/>
                      <w:bCs/>
                      <w:iCs/>
                      <w:color w:val="auto"/>
                      <w:szCs w:val="21"/>
                    </w:rPr>
                    <w:t>序号</w:t>
                  </w:r>
                </w:p>
              </w:tc>
              <w:tc>
                <w:tcPr>
                  <w:tcW w:w="2833" w:type="dxa"/>
                </w:tcPr>
                <w:p>
                  <w:pPr>
                    <w:autoSpaceDE w:val="0"/>
                    <w:autoSpaceDN w:val="0"/>
                    <w:adjustRightInd w:val="0"/>
                    <w:jc w:val="center"/>
                    <w:rPr>
                      <w:b/>
                      <w:bCs/>
                      <w:iCs/>
                      <w:color w:val="auto"/>
                      <w:szCs w:val="21"/>
                    </w:rPr>
                  </w:pPr>
                  <w:r>
                    <w:rPr>
                      <w:rFonts w:hint="eastAsia"/>
                      <w:color w:val="auto"/>
                      <w:kern w:val="0"/>
                      <w:szCs w:val="21"/>
                    </w:rPr>
                    <w:t>项目名称</w:t>
                  </w:r>
                </w:p>
              </w:tc>
              <w:tc>
                <w:tcPr>
                  <w:tcW w:w="5576" w:type="dxa"/>
                </w:tcPr>
                <w:p>
                  <w:pPr>
                    <w:autoSpaceDE w:val="0"/>
                    <w:autoSpaceDN w:val="0"/>
                    <w:adjustRightInd w:val="0"/>
                    <w:jc w:val="center"/>
                    <w:rPr>
                      <w:b/>
                      <w:bCs/>
                      <w:iCs/>
                      <w:color w:val="auto"/>
                      <w:szCs w:val="21"/>
                    </w:rPr>
                  </w:pPr>
                  <w:r>
                    <w:rPr>
                      <w:rFonts w:hint="eastAsia"/>
                      <w:b/>
                      <w:bCs/>
                      <w:iCs/>
                      <w:color w:val="auto"/>
                      <w:szCs w:val="21"/>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autoSpaceDE w:val="0"/>
                    <w:autoSpaceDN w:val="0"/>
                    <w:adjustRightInd w:val="0"/>
                    <w:jc w:val="center"/>
                    <w:rPr>
                      <w:b/>
                      <w:bCs/>
                      <w:iCs/>
                      <w:color w:val="auto"/>
                      <w:szCs w:val="21"/>
                    </w:rPr>
                  </w:pPr>
                  <w:r>
                    <w:rPr>
                      <w:b/>
                      <w:bCs/>
                      <w:iCs/>
                      <w:color w:val="auto"/>
                      <w:szCs w:val="21"/>
                    </w:rPr>
                    <w:t>1</w:t>
                  </w:r>
                </w:p>
              </w:tc>
              <w:tc>
                <w:tcPr>
                  <w:tcW w:w="2833" w:type="dxa"/>
                </w:tcPr>
                <w:p>
                  <w:pPr>
                    <w:autoSpaceDE w:val="0"/>
                    <w:autoSpaceDN w:val="0"/>
                    <w:adjustRightInd w:val="0"/>
                    <w:jc w:val="center"/>
                    <w:rPr>
                      <w:b/>
                      <w:bCs/>
                      <w:iCs/>
                      <w:color w:val="auto"/>
                      <w:szCs w:val="21"/>
                    </w:rPr>
                  </w:pPr>
                  <w:r>
                    <w:rPr>
                      <w:rFonts w:hint="eastAsia"/>
                      <w:color w:val="auto"/>
                      <w:kern w:val="0"/>
                      <w:szCs w:val="21"/>
                    </w:rPr>
                    <w:t>额定容量</w:t>
                  </w:r>
                  <w:r>
                    <w:rPr>
                      <w:rFonts w:eastAsia="TimesNewRomanPSMT"/>
                      <w:color w:val="auto"/>
                      <w:kern w:val="0"/>
                      <w:szCs w:val="21"/>
                    </w:rPr>
                    <w:t>(Ah)</w:t>
                  </w:r>
                </w:p>
              </w:tc>
              <w:tc>
                <w:tcPr>
                  <w:tcW w:w="5576" w:type="dxa"/>
                </w:tcPr>
                <w:p>
                  <w:pPr>
                    <w:autoSpaceDE w:val="0"/>
                    <w:autoSpaceDN w:val="0"/>
                    <w:adjustRightInd w:val="0"/>
                    <w:jc w:val="center"/>
                    <w:rPr>
                      <w:color w:val="auto"/>
                      <w:kern w:val="0"/>
                      <w:szCs w:val="21"/>
                    </w:rPr>
                  </w:pPr>
                  <w:r>
                    <w:rPr>
                      <w:rFonts w:hint="eastAsia"/>
                      <w:color w:val="auto"/>
                      <w:kern w:val="0"/>
                      <w:szCs w:val="21"/>
                    </w:rPr>
                    <w:t>≥200Ah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autoSpaceDE w:val="0"/>
                    <w:autoSpaceDN w:val="0"/>
                    <w:adjustRightInd w:val="0"/>
                    <w:jc w:val="center"/>
                    <w:rPr>
                      <w:b/>
                      <w:bCs/>
                      <w:iCs/>
                      <w:color w:val="auto"/>
                      <w:szCs w:val="21"/>
                    </w:rPr>
                  </w:pPr>
                  <w:r>
                    <w:rPr>
                      <w:b/>
                      <w:bCs/>
                      <w:iCs/>
                      <w:color w:val="auto"/>
                      <w:szCs w:val="21"/>
                    </w:rPr>
                    <w:t>2</w:t>
                  </w:r>
                </w:p>
              </w:tc>
              <w:tc>
                <w:tcPr>
                  <w:tcW w:w="2833" w:type="dxa"/>
                </w:tcPr>
                <w:p>
                  <w:pPr>
                    <w:autoSpaceDE w:val="0"/>
                    <w:autoSpaceDN w:val="0"/>
                    <w:adjustRightInd w:val="0"/>
                    <w:jc w:val="center"/>
                    <w:rPr>
                      <w:b/>
                      <w:bCs/>
                      <w:iCs/>
                      <w:color w:val="auto"/>
                      <w:szCs w:val="21"/>
                    </w:rPr>
                  </w:pPr>
                  <w:r>
                    <w:rPr>
                      <w:rFonts w:hint="eastAsia"/>
                      <w:color w:val="auto"/>
                      <w:kern w:val="0"/>
                      <w:szCs w:val="21"/>
                    </w:rPr>
                    <w:t>工作电压范围</w:t>
                  </w:r>
                  <w:r>
                    <w:rPr>
                      <w:rFonts w:eastAsia="TimesNewRomanPSMT"/>
                      <w:color w:val="auto"/>
                      <w:kern w:val="0"/>
                      <w:szCs w:val="21"/>
                    </w:rPr>
                    <w:t>(V)</w:t>
                  </w:r>
                </w:p>
              </w:tc>
              <w:tc>
                <w:tcPr>
                  <w:tcW w:w="5576" w:type="dxa"/>
                </w:tcPr>
                <w:p>
                  <w:pPr>
                    <w:autoSpaceDE w:val="0"/>
                    <w:autoSpaceDN w:val="0"/>
                    <w:adjustRightInd w:val="0"/>
                    <w:jc w:val="center"/>
                    <w:rPr>
                      <w:color w:val="auto"/>
                      <w:kern w:val="0"/>
                      <w:szCs w:val="21"/>
                    </w:rPr>
                  </w:pPr>
                  <w:r>
                    <w:rPr>
                      <w:color w:val="auto"/>
                      <w:kern w:val="0"/>
                      <w:szCs w:val="21"/>
                    </w:rPr>
                    <w:t>500V-850V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autoSpaceDE w:val="0"/>
                    <w:autoSpaceDN w:val="0"/>
                    <w:adjustRightInd w:val="0"/>
                    <w:jc w:val="center"/>
                    <w:rPr>
                      <w:b/>
                      <w:bCs/>
                      <w:iCs/>
                      <w:color w:val="auto"/>
                      <w:szCs w:val="21"/>
                    </w:rPr>
                  </w:pPr>
                  <w:r>
                    <w:rPr>
                      <w:b/>
                      <w:bCs/>
                      <w:iCs/>
                      <w:color w:val="auto"/>
                      <w:szCs w:val="21"/>
                    </w:rPr>
                    <w:t>3</w:t>
                  </w:r>
                </w:p>
              </w:tc>
              <w:tc>
                <w:tcPr>
                  <w:tcW w:w="2833" w:type="dxa"/>
                </w:tcPr>
                <w:p>
                  <w:pPr>
                    <w:autoSpaceDE w:val="0"/>
                    <w:autoSpaceDN w:val="0"/>
                    <w:adjustRightInd w:val="0"/>
                    <w:jc w:val="center"/>
                    <w:rPr>
                      <w:b/>
                      <w:bCs/>
                      <w:iCs/>
                      <w:color w:val="auto"/>
                      <w:szCs w:val="21"/>
                    </w:rPr>
                  </w:pPr>
                  <w:r>
                    <w:rPr>
                      <w:rFonts w:hint="eastAsia"/>
                      <w:color w:val="auto"/>
                      <w:kern w:val="0"/>
                      <w:szCs w:val="21"/>
                    </w:rPr>
                    <w:t>初始充放电能量效率</w:t>
                  </w:r>
                </w:p>
              </w:tc>
              <w:tc>
                <w:tcPr>
                  <w:tcW w:w="5576" w:type="dxa"/>
                </w:tcPr>
                <w:p>
                  <w:pPr>
                    <w:autoSpaceDE w:val="0"/>
                    <w:autoSpaceDN w:val="0"/>
                    <w:adjustRightInd w:val="0"/>
                    <w:jc w:val="center"/>
                    <w:rPr>
                      <w:color w:val="auto"/>
                      <w:kern w:val="0"/>
                      <w:szCs w:val="21"/>
                    </w:rPr>
                  </w:pPr>
                  <w:r>
                    <w:rPr>
                      <w:rFonts w:hint="eastAsia"/>
                      <w:color w:val="auto"/>
                      <w:kern w:val="0"/>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autoSpaceDE w:val="0"/>
                    <w:autoSpaceDN w:val="0"/>
                    <w:adjustRightInd w:val="0"/>
                    <w:jc w:val="center"/>
                    <w:rPr>
                      <w:b/>
                      <w:bCs/>
                      <w:iCs/>
                      <w:color w:val="auto"/>
                      <w:szCs w:val="21"/>
                    </w:rPr>
                  </w:pPr>
                  <w:r>
                    <w:rPr>
                      <w:b/>
                      <w:bCs/>
                      <w:iCs/>
                      <w:color w:val="auto"/>
                      <w:szCs w:val="21"/>
                    </w:rPr>
                    <w:t>4</w:t>
                  </w:r>
                </w:p>
              </w:tc>
              <w:tc>
                <w:tcPr>
                  <w:tcW w:w="2833" w:type="dxa"/>
                </w:tcPr>
                <w:p>
                  <w:pPr>
                    <w:autoSpaceDE w:val="0"/>
                    <w:autoSpaceDN w:val="0"/>
                    <w:adjustRightInd w:val="0"/>
                    <w:jc w:val="center"/>
                    <w:rPr>
                      <w:bCs/>
                      <w:iCs/>
                      <w:color w:val="auto"/>
                      <w:szCs w:val="21"/>
                    </w:rPr>
                  </w:pPr>
                  <w:r>
                    <w:rPr>
                      <w:rFonts w:hint="eastAsia"/>
                      <w:color w:val="auto"/>
                      <w:kern w:val="0"/>
                      <w:szCs w:val="21"/>
                    </w:rPr>
                    <w:t>电池循环寿命</w:t>
                  </w:r>
                </w:p>
              </w:tc>
              <w:tc>
                <w:tcPr>
                  <w:tcW w:w="5576" w:type="dxa"/>
                </w:tcPr>
                <w:p>
                  <w:pPr>
                    <w:autoSpaceDE w:val="0"/>
                    <w:autoSpaceDN w:val="0"/>
                    <w:adjustRightInd w:val="0"/>
                    <w:jc w:val="center"/>
                    <w:rPr>
                      <w:color w:val="auto"/>
                      <w:kern w:val="0"/>
                      <w:szCs w:val="21"/>
                    </w:rPr>
                  </w:pPr>
                  <w:r>
                    <w:rPr>
                      <w:rFonts w:hint="eastAsia"/>
                      <w:color w:val="auto"/>
                      <w:kern w:val="0"/>
                      <w:szCs w:val="21"/>
                    </w:rPr>
                    <w:t>循环次数达到</w:t>
                  </w:r>
                  <w:r>
                    <w:rPr>
                      <w:color w:val="auto"/>
                      <w:kern w:val="0"/>
                      <w:szCs w:val="21"/>
                    </w:rPr>
                    <w:t>4000</w:t>
                  </w:r>
                  <w:r>
                    <w:rPr>
                      <w:rFonts w:hint="eastAsia"/>
                      <w:color w:val="auto"/>
                      <w:kern w:val="0"/>
                      <w:szCs w:val="21"/>
                    </w:rPr>
                    <w:t>次时，充电电量保持率≥90%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autoSpaceDE w:val="0"/>
                    <w:autoSpaceDN w:val="0"/>
                    <w:adjustRightInd w:val="0"/>
                    <w:jc w:val="center"/>
                    <w:rPr>
                      <w:b/>
                      <w:bCs/>
                      <w:iCs/>
                      <w:color w:val="auto"/>
                      <w:szCs w:val="21"/>
                    </w:rPr>
                  </w:pPr>
                  <w:r>
                    <w:rPr>
                      <w:b/>
                      <w:bCs/>
                      <w:iCs/>
                      <w:color w:val="auto"/>
                      <w:szCs w:val="21"/>
                    </w:rPr>
                    <w:t>5</w:t>
                  </w:r>
                </w:p>
              </w:tc>
              <w:tc>
                <w:tcPr>
                  <w:tcW w:w="2833" w:type="dxa"/>
                </w:tcPr>
                <w:p>
                  <w:pPr>
                    <w:autoSpaceDE w:val="0"/>
                    <w:autoSpaceDN w:val="0"/>
                    <w:adjustRightInd w:val="0"/>
                    <w:jc w:val="center"/>
                    <w:rPr>
                      <w:bCs/>
                      <w:iCs/>
                      <w:color w:val="auto"/>
                      <w:szCs w:val="21"/>
                    </w:rPr>
                  </w:pPr>
                  <w:r>
                    <w:rPr>
                      <w:rFonts w:hint="eastAsia"/>
                      <w:bCs/>
                      <w:iCs/>
                      <w:color w:val="auto"/>
                      <w:szCs w:val="21"/>
                    </w:rPr>
                    <w:t>能量转换效率</w:t>
                  </w:r>
                </w:p>
              </w:tc>
              <w:tc>
                <w:tcPr>
                  <w:tcW w:w="5576" w:type="dxa"/>
                </w:tcPr>
                <w:p>
                  <w:pPr>
                    <w:autoSpaceDE w:val="0"/>
                    <w:autoSpaceDN w:val="0"/>
                    <w:adjustRightInd w:val="0"/>
                    <w:jc w:val="center"/>
                    <w:rPr>
                      <w:color w:val="auto"/>
                      <w:kern w:val="0"/>
                      <w:szCs w:val="21"/>
                    </w:rPr>
                  </w:pPr>
                  <w:r>
                    <w:rPr>
                      <w:color w:val="auto"/>
                      <w:kern w:val="0"/>
                      <w:szCs w:val="21"/>
                    </w:rPr>
                    <w:t>Prcn</w:t>
                  </w:r>
                  <w:r>
                    <w:rPr>
                      <w:rFonts w:hint="eastAsia"/>
                      <w:color w:val="auto"/>
                      <w:kern w:val="0"/>
                      <w:szCs w:val="21"/>
                    </w:rPr>
                    <w:t>、</w:t>
                  </w:r>
                  <w:r>
                    <w:rPr>
                      <w:color w:val="auto"/>
                      <w:kern w:val="0"/>
                      <w:szCs w:val="21"/>
                    </w:rPr>
                    <w:t xml:space="preserve">Prdn' </w:t>
                  </w:r>
                  <w:r>
                    <w:rPr>
                      <w:rFonts w:hint="eastAsia"/>
                      <w:color w:val="auto"/>
                      <w:kern w:val="0"/>
                      <w:szCs w:val="21"/>
                    </w:rPr>
                    <w:t>条件下能量效率≥93%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autoSpaceDE w:val="0"/>
                    <w:autoSpaceDN w:val="0"/>
                    <w:adjustRightInd w:val="0"/>
                    <w:jc w:val="center"/>
                    <w:rPr>
                      <w:b/>
                      <w:bCs/>
                      <w:iCs/>
                      <w:color w:val="auto"/>
                      <w:szCs w:val="21"/>
                    </w:rPr>
                  </w:pPr>
                  <w:r>
                    <w:rPr>
                      <w:b/>
                      <w:bCs/>
                      <w:iCs/>
                      <w:color w:val="auto"/>
                      <w:szCs w:val="21"/>
                    </w:rPr>
                    <w:t>6</w:t>
                  </w:r>
                </w:p>
              </w:tc>
              <w:tc>
                <w:tcPr>
                  <w:tcW w:w="2833" w:type="dxa"/>
                </w:tcPr>
                <w:p>
                  <w:pPr>
                    <w:autoSpaceDE w:val="0"/>
                    <w:autoSpaceDN w:val="0"/>
                    <w:adjustRightInd w:val="0"/>
                    <w:jc w:val="center"/>
                    <w:rPr>
                      <w:bCs/>
                      <w:iCs/>
                      <w:color w:val="auto"/>
                      <w:szCs w:val="21"/>
                    </w:rPr>
                  </w:pPr>
                  <w:r>
                    <w:rPr>
                      <w:rFonts w:hint="eastAsia"/>
                      <w:bCs/>
                      <w:iCs/>
                      <w:color w:val="auto"/>
                      <w:szCs w:val="21"/>
                    </w:rPr>
                    <w:t>绝缘性能</w:t>
                  </w:r>
                </w:p>
              </w:tc>
              <w:tc>
                <w:tcPr>
                  <w:tcW w:w="5576" w:type="dxa"/>
                </w:tcPr>
                <w:p>
                  <w:pPr>
                    <w:autoSpaceDE w:val="0"/>
                    <w:autoSpaceDN w:val="0"/>
                    <w:adjustRightInd w:val="0"/>
                    <w:jc w:val="center"/>
                    <w:rPr>
                      <w:color w:val="auto"/>
                      <w:kern w:val="0"/>
                      <w:szCs w:val="21"/>
                    </w:rPr>
                  </w:pPr>
                  <w:r>
                    <w:rPr>
                      <w:rFonts w:hint="eastAsia"/>
                      <w:color w:val="auto"/>
                      <w:kern w:val="0"/>
                      <w:szCs w:val="21"/>
                    </w:rPr>
                    <w:t>≥1000Ω/V</w:t>
                  </w:r>
                </w:p>
              </w:tc>
            </w:tr>
          </w:tbl>
          <w:p>
            <w:pPr>
              <w:autoSpaceDE w:val="0"/>
              <w:autoSpaceDN w:val="0"/>
              <w:adjustRightInd w:val="0"/>
              <w:spacing w:line="360" w:lineRule="auto"/>
              <w:ind w:firstLine="602" w:firstLineChars="250"/>
              <w:jc w:val="left"/>
              <w:rPr>
                <w:b/>
                <w:bCs/>
                <w:iCs/>
                <w:color w:val="auto"/>
                <w:sz w:val="24"/>
                <w:szCs w:val="24"/>
              </w:rPr>
            </w:pPr>
            <w:r>
              <w:rPr>
                <w:rFonts w:hint="eastAsia"/>
                <w:b/>
                <w:bCs/>
                <w:iCs/>
                <w:color w:val="auto"/>
                <w:sz w:val="24"/>
                <w:szCs w:val="24"/>
              </w:rPr>
              <w:t>（</w:t>
            </w:r>
            <w:r>
              <w:rPr>
                <w:b/>
                <w:bCs/>
                <w:iCs/>
                <w:color w:val="auto"/>
                <w:sz w:val="24"/>
                <w:szCs w:val="24"/>
              </w:rPr>
              <w:t>3</w:t>
            </w:r>
            <w:r>
              <w:rPr>
                <w:rFonts w:hint="eastAsia"/>
                <w:b/>
                <w:bCs/>
                <w:iCs/>
                <w:color w:val="auto"/>
                <w:sz w:val="24"/>
                <w:szCs w:val="24"/>
              </w:rPr>
              <w:t>）架空线路</w:t>
            </w:r>
          </w:p>
          <w:p>
            <w:pPr>
              <w:autoSpaceDE w:val="0"/>
              <w:autoSpaceDN w:val="0"/>
              <w:adjustRightInd w:val="0"/>
              <w:spacing w:line="360" w:lineRule="auto"/>
              <w:ind w:firstLine="600" w:firstLineChars="250"/>
              <w:rPr>
                <w:iCs/>
                <w:color w:val="auto"/>
                <w:kern w:val="0"/>
                <w:sz w:val="24"/>
                <w:szCs w:val="24"/>
              </w:rPr>
            </w:pPr>
            <w:r>
              <w:rPr>
                <w:rFonts w:hint="eastAsia"/>
                <w:iCs/>
                <w:color w:val="auto"/>
                <w:kern w:val="0"/>
                <w:sz w:val="24"/>
                <w:szCs w:val="24"/>
              </w:rPr>
              <w:t>根据工可报告，本工程储能电站以</w:t>
            </w:r>
            <w:r>
              <w:rPr>
                <w:iCs/>
                <w:color w:val="auto"/>
                <w:kern w:val="0"/>
                <w:sz w:val="24"/>
                <w:szCs w:val="24"/>
              </w:rPr>
              <w:t>1</w:t>
            </w:r>
            <w:r>
              <w:rPr>
                <w:rFonts w:hint="eastAsia"/>
                <w:iCs/>
                <w:color w:val="auto"/>
                <w:kern w:val="0"/>
                <w:sz w:val="24"/>
                <w:szCs w:val="24"/>
              </w:rPr>
              <w:t>回</w:t>
            </w:r>
            <w:r>
              <w:rPr>
                <w:iCs/>
                <w:color w:val="auto"/>
                <w:kern w:val="0"/>
                <w:sz w:val="24"/>
                <w:szCs w:val="24"/>
              </w:rPr>
              <w:t>110kV</w:t>
            </w:r>
            <w:r>
              <w:rPr>
                <w:rFonts w:hint="eastAsia"/>
                <w:iCs/>
                <w:color w:val="auto"/>
                <w:kern w:val="0"/>
                <w:sz w:val="24"/>
                <w:szCs w:val="24"/>
              </w:rPr>
              <w:t>线路接入儒林变</w:t>
            </w:r>
            <w:r>
              <w:rPr>
                <w:iCs/>
                <w:color w:val="auto"/>
                <w:kern w:val="0"/>
                <w:sz w:val="24"/>
                <w:szCs w:val="24"/>
              </w:rPr>
              <w:t>110kV</w:t>
            </w:r>
            <w:r>
              <w:rPr>
                <w:rFonts w:hint="eastAsia"/>
                <w:iCs/>
                <w:color w:val="auto"/>
                <w:kern w:val="0"/>
                <w:sz w:val="24"/>
                <w:szCs w:val="24"/>
              </w:rPr>
              <w:t>母线。本期需要新建线路长度约为</w:t>
            </w:r>
            <w:r>
              <w:rPr>
                <w:iCs/>
                <w:color w:val="auto"/>
                <w:kern w:val="0"/>
                <w:sz w:val="24"/>
                <w:szCs w:val="24"/>
              </w:rPr>
              <w:t>LJG-300/0.2km</w:t>
            </w:r>
            <w:r>
              <w:rPr>
                <w:rFonts w:hint="eastAsia"/>
                <w:iCs/>
                <w:color w:val="auto"/>
                <w:kern w:val="0"/>
                <w:sz w:val="24"/>
                <w:szCs w:val="24"/>
              </w:rPr>
              <w:t>，路径较短。</w:t>
            </w:r>
            <w:r>
              <w:rPr>
                <w:rFonts w:hint="eastAsia"/>
                <w:color w:val="auto"/>
                <w:kern w:val="0"/>
                <w:sz w:val="24"/>
                <w:szCs w:val="24"/>
              </w:rPr>
              <w:t>儒林储能电站～儒林变</w:t>
            </w:r>
            <w:r>
              <w:rPr>
                <w:color w:val="auto"/>
                <w:kern w:val="0"/>
                <w:sz w:val="24"/>
                <w:szCs w:val="24"/>
              </w:rPr>
              <w:t>110kV</w:t>
            </w:r>
            <w:r>
              <w:rPr>
                <w:rFonts w:hint="eastAsia"/>
                <w:color w:val="auto"/>
                <w:kern w:val="0"/>
                <w:sz w:val="24"/>
                <w:szCs w:val="24"/>
              </w:rPr>
              <w:t>线路起于儒林储能电站站内出线终端，经站外新建单回铁塔，左转，连续跨过</w:t>
            </w:r>
            <w:r>
              <w:rPr>
                <w:color w:val="auto"/>
                <w:kern w:val="0"/>
                <w:sz w:val="24"/>
                <w:szCs w:val="24"/>
              </w:rPr>
              <w:t>35kV</w:t>
            </w:r>
            <w:r>
              <w:rPr>
                <w:rFonts w:hint="eastAsia"/>
                <w:color w:val="auto"/>
                <w:kern w:val="0"/>
                <w:sz w:val="24"/>
                <w:szCs w:val="24"/>
              </w:rPr>
              <w:t>北茅</w:t>
            </w:r>
            <w:r>
              <w:rPr>
                <w:color w:val="auto"/>
                <w:kern w:val="0"/>
                <w:sz w:val="24"/>
                <w:szCs w:val="24"/>
              </w:rPr>
              <w:t>1</w:t>
            </w:r>
            <w:r>
              <w:rPr>
                <w:rFonts w:hint="eastAsia"/>
                <w:color w:val="auto"/>
                <w:kern w:val="0"/>
                <w:sz w:val="24"/>
                <w:szCs w:val="24"/>
              </w:rPr>
              <w:t>线和</w:t>
            </w:r>
            <w:r>
              <w:rPr>
                <w:color w:val="auto"/>
                <w:kern w:val="0"/>
                <w:sz w:val="24"/>
                <w:szCs w:val="24"/>
              </w:rPr>
              <w:t>10kV</w:t>
            </w:r>
            <w:r>
              <w:rPr>
                <w:rFonts w:hint="eastAsia"/>
                <w:color w:val="auto"/>
                <w:kern w:val="0"/>
                <w:sz w:val="24"/>
                <w:szCs w:val="24"/>
              </w:rPr>
              <w:t>儒政、儒工线双回线路（本期</w:t>
            </w:r>
            <w:r>
              <w:rPr>
                <w:color w:val="auto"/>
                <w:kern w:val="0"/>
                <w:sz w:val="24"/>
                <w:szCs w:val="24"/>
              </w:rPr>
              <w:t>2</w:t>
            </w:r>
            <w:r>
              <w:rPr>
                <w:rFonts w:hint="eastAsia"/>
                <w:color w:val="auto"/>
                <w:kern w:val="0"/>
                <w:sz w:val="24"/>
                <w:szCs w:val="24"/>
              </w:rPr>
              <w:t>条线路均需迁改），左转，跨过</w:t>
            </w:r>
            <w:r>
              <w:rPr>
                <w:color w:val="auto"/>
                <w:kern w:val="0"/>
                <w:sz w:val="24"/>
                <w:szCs w:val="24"/>
              </w:rPr>
              <w:t>220kV</w:t>
            </w:r>
            <w:r>
              <w:rPr>
                <w:rFonts w:hint="eastAsia"/>
                <w:color w:val="auto"/>
                <w:kern w:val="0"/>
                <w:sz w:val="24"/>
                <w:szCs w:val="24"/>
              </w:rPr>
              <w:t>儒林变进站道路，左转，接入</w:t>
            </w:r>
            <w:r>
              <w:rPr>
                <w:color w:val="auto"/>
                <w:kern w:val="0"/>
                <w:sz w:val="24"/>
                <w:szCs w:val="24"/>
              </w:rPr>
              <w:t>220kV</w:t>
            </w:r>
            <w:r>
              <w:rPr>
                <w:rFonts w:hint="eastAsia"/>
                <w:color w:val="auto"/>
                <w:kern w:val="0"/>
                <w:sz w:val="24"/>
                <w:szCs w:val="24"/>
              </w:rPr>
              <w:t>儒林变</w:t>
            </w:r>
            <w:r>
              <w:rPr>
                <w:color w:val="auto"/>
                <w:kern w:val="0"/>
                <w:sz w:val="24"/>
                <w:szCs w:val="24"/>
              </w:rPr>
              <w:t>110kV</w:t>
            </w:r>
            <w:r>
              <w:rPr>
                <w:rFonts w:hint="eastAsia"/>
                <w:color w:val="auto"/>
                <w:kern w:val="0"/>
                <w:sz w:val="24"/>
                <w:szCs w:val="24"/>
              </w:rPr>
              <w:t>间隔。</w:t>
            </w:r>
            <w:r>
              <w:rPr>
                <w:rFonts w:hint="eastAsia"/>
                <w:iCs/>
                <w:color w:val="auto"/>
                <w:kern w:val="0"/>
                <w:sz w:val="24"/>
                <w:szCs w:val="24"/>
              </w:rPr>
              <w:t>导线采用</w:t>
            </w:r>
            <w:r>
              <w:rPr>
                <w:iCs/>
                <w:color w:val="auto"/>
                <w:kern w:val="0"/>
                <w:sz w:val="24"/>
                <w:szCs w:val="24"/>
              </w:rPr>
              <w:t>JL3/G1A-300/40</w:t>
            </w:r>
            <w:r>
              <w:rPr>
                <w:rFonts w:hint="eastAsia"/>
                <w:iCs/>
                <w:color w:val="auto"/>
                <w:kern w:val="0"/>
                <w:sz w:val="24"/>
                <w:szCs w:val="24"/>
              </w:rPr>
              <w:t>型钢芯高导电率铝绞线。底线采用两根</w:t>
            </w:r>
            <w:r>
              <w:rPr>
                <w:iCs/>
                <w:color w:val="auto"/>
                <w:kern w:val="0"/>
                <w:sz w:val="24"/>
                <w:szCs w:val="24"/>
              </w:rPr>
              <w:t>24</w:t>
            </w:r>
            <w:r>
              <w:rPr>
                <w:rFonts w:hint="eastAsia"/>
                <w:iCs/>
                <w:color w:val="auto"/>
                <w:kern w:val="0"/>
                <w:sz w:val="24"/>
                <w:szCs w:val="24"/>
              </w:rPr>
              <w:t>芯</w:t>
            </w:r>
            <w:r>
              <w:rPr>
                <w:iCs/>
                <w:color w:val="auto"/>
                <w:kern w:val="0"/>
                <w:sz w:val="24"/>
                <w:szCs w:val="24"/>
              </w:rPr>
              <w:t>OPGW-13-90-1</w:t>
            </w:r>
            <w:r>
              <w:rPr>
                <w:rFonts w:hint="eastAsia"/>
                <w:iCs/>
                <w:color w:val="auto"/>
                <w:kern w:val="0"/>
                <w:sz w:val="24"/>
                <w:szCs w:val="24"/>
              </w:rPr>
              <w:t>型复合光缆，。需拆除改迁</w:t>
            </w:r>
            <w:r>
              <w:rPr>
                <w:iCs/>
                <w:color w:val="auto"/>
                <w:kern w:val="0"/>
                <w:sz w:val="24"/>
                <w:szCs w:val="24"/>
              </w:rPr>
              <w:t>35kV</w:t>
            </w:r>
            <w:r>
              <w:rPr>
                <w:rFonts w:hint="eastAsia"/>
                <w:iCs/>
                <w:color w:val="auto"/>
                <w:kern w:val="0"/>
                <w:sz w:val="24"/>
                <w:szCs w:val="24"/>
              </w:rPr>
              <w:t>北茅</w:t>
            </w:r>
            <w:r>
              <w:rPr>
                <w:iCs/>
                <w:color w:val="auto"/>
                <w:kern w:val="0"/>
                <w:sz w:val="24"/>
                <w:szCs w:val="24"/>
              </w:rPr>
              <w:t>1</w:t>
            </w:r>
            <w:r>
              <w:rPr>
                <w:rFonts w:hint="eastAsia"/>
                <w:iCs/>
                <w:color w:val="auto"/>
                <w:kern w:val="0"/>
                <w:sz w:val="24"/>
                <w:szCs w:val="24"/>
              </w:rPr>
              <w:t>线</w:t>
            </w:r>
            <w:r>
              <w:rPr>
                <w:iCs/>
                <w:color w:val="auto"/>
                <w:kern w:val="0"/>
                <w:sz w:val="24"/>
                <w:szCs w:val="24"/>
              </w:rPr>
              <w:t>025#-26#</w:t>
            </w:r>
            <w:r>
              <w:rPr>
                <w:rFonts w:hint="eastAsia"/>
                <w:iCs/>
                <w:color w:val="auto"/>
                <w:kern w:val="0"/>
                <w:sz w:val="24"/>
                <w:szCs w:val="24"/>
              </w:rPr>
              <w:t>拆除路径长度</w:t>
            </w:r>
            <w:r>
              <w:rPr>
                <w:iCs/>
                <w:color w:val="auto"/>
                <w:kern w:val="0"/>
                <w:sz w:val="24"/>
                <w:szCs w:val="24"/>
              </w:rPr>
              <w:t>0.35km</w:t>
            </w:r>
            <w:r>
              <w:rPr>
                <w:rFonts w:hint="eastAsia"/>
                <w:iCs/>
                <w:color w:val="auto"/>
                <w:kern w:val="0"/>
                <w:sz w:val="24"/>
                <w:szCs w:val="24"/>
              </w:rPr>
              <w:t>，拆除改迁</w:t>
            </w:r>
            <w:r>
              <w:rPr>
                <w:iCs/>
                <w:color w:val="auto"/>
                <w:kern w:val="0"/>
                <w:sz w:val="24"/>
                <w:szCs w:val="24"/>
              </w:rPr>
              <w:t>10kV</w:t>
            </w:r>
            <w:r>
              <w:rPr>
                <w:rFonts w:hint="eastAsia"/>
                <w:iCs/>
                <w:color w:val="auto"/>
                <w:kern w:val="0"/>
                <w:sz w:val="24"/>
                <w:szCs w:val="24"/>
              </w:rPr>
              <w:t>儒政、儒工线双回线路</w:t>
            </w:r>
            <w:r>
              <w:rPr>
                <w:iCs/>
                <w:color w:val="auto"/>
                <w:kern w:val="0"/>
                <w:sz w:val="24"/>
                <w:szCs w:val="24"/>
              </w:rPr>
              <w:t>1#-4#</w:t>
            </w:r>
            <w:r>
              <w:rPr>
                <w:rFonts w:hint="eastAsia"/>
                <w:iCs/>
                <w:color w:val="auto"/>
                <w:kern w:val="0"/>
                <w:sz w:val="24"/>
                <w:szCs w:val="24"/>
              </w:rPr>
              <w:t>导线、金具及砼杆，调整</w:t>
            </w:r>
            <w:r>
              <w:rPr>
                <w:iCs/>
                <w:color w:val="auto"/>
                <w:kern w:val="0"/>
                <w:sz w:val="24"/>
                <w:szCs w:val="24"/>
              </w:rPr>
              <w:t>10kV</w:t>
            </w:r>
            <w:r>
              <w:rPr>
                <w:rFonts w:hint="eastAsia"/>
                <w:iCs/>
                <w:color w:val="auto"/>
                <w:kern w:val="0"/>
                <w:sz w:val="24"/>
                <w:szCs w:val="24"/>
              </w:rPr>
              <w:t>线路导线弧垂</w:t>
            </w:r>
            <w:r>
              <w:rPr>
                <w:iCs/>
                <w:color w:val="auto"/>
                <w:kern w:val="0"/>
                <w:sz w:val="24"/>
                <w:szCs w:val="24"/>
              </w:rPr>
              <w:t>0.2km</w:t>
            </w:r>
            <w:r>
              <w:rPr>
                <w:rFonts w:hint="eastAsia"/>
                <w:iCs/>
                <w:color w:val="auto"/>
                <w:kern w:val="0"/>
                <w:sz w:val="24"/>
                <w:szCs w:val="24"/>
              </w:rPr>
              <w:t>。</w:t>
            </w:r>
            <w:r>
              <w:rPr>
                <w:rFonts w:hint="eastAsia"/>
                <w:bCs/>
                <w:iCs/>
                <w:color w:val="auto"/>
                <w:sz w:val="24"/>
                <w:szCs w:val="24"/>
              </w:rPr>
              <w:t>架空线路</w:t>
            </w:r>
            <w:r>
              <w:rPr>
                <w:rFonts w:hint="eastAsia"/>
                <w:color w:val="auto"/>
                <w:kern w:val="0"/>
                <w:sz w:val="24"/>
                <w:szCs w:val="24"/>
              </w:rPr>
              <w:t>沿线走廊及附近植被发育，主要为竹子为主，杂树为辅，并分布有农田、少量的菜地等。线路主要交叉跨越统计见表</w:t>
            </w:r>
            <w:r>
              <w:rPr>
                <w:color w:val="auto"/>
                <w:kern w:val="0"/>
                <w:sz w:val="24"/>
                <w:szCs w:val="24"/>
              </w:rPr>
              <w:t>1-5</w:t>
            </w:r>
            <w:r>
              <w:rPr>
                <w:rFonts w:hint="eastAsia"/>
                <w:color w:val="auto"/>
                <w:kern w:val="0"/>
                <w:sz w:val="24"/>
                <w:szCs w:val="24"/>
              </w:rPr>
              <w:t>。</w:t>
            </w:r>
          </w:p>
          <w:p>
            <w:pPr>
              <w:autoSpaceDE w:val="0"/>
              <w:autoSpaceDN w:val="0"/>
              <w:adjustRightInd w:val="0"/>
              <w:spacing w:line="360" w:lineRule="auto"/>
              <w:jc w:val="center"/>
              <w:rPr>
                <w:b/>
                <w:bCs/>
                <w:iCs/>
                <w:color w:val="auto"/>
                <w:szCs w:val="21"/>
              </w:rPr>
            </w:pPr>
            <w:r>
              <w:rPr>
                <w:color w:val="auto"/>
              </w:rPr>
              <w:drawing>
                <wp:inline distT="0" distB="0" distL="0" distR="0">
                  <wp:extent cx="5481955" cy="3103245"/>
                  <wp:effectExtent l="19050" t="0" r="4445"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10" cstate="print"/>
                          <a:srcRect/>
                          <a:stretch>
                            <a:fillRect/>
                          </a:stretch>
                        </pic:blipFill>
                        <pic:spPr>
                          <a:xfrm>
                            <a:off x="0" y="0"/>
                            <a:ext cx="5481955" cy="3103245"/>
                          </a:xfrm>
                          <a:prstGeom prst="rect">
                            <a:avLst/>
                          </a:prstGeom>
                          <a:noFill/>
                          <a:ln w="9525">
                            <a:noFill/>
                            <a:miter lim="800000"/>
                            <a:headEnd/>
                            <a:tailEnd/>
                          </a:ln>
                        </pic:spPr>
                      </pic:pic>
                    </a:graphicData>
                  </a:graphic>
                </wp:inline>
              </w:drawing>
            </w:r>
          </w:p>
          <w:p>
            <w:pPr>
              <w:spacing w:line="360" w:lineRule="auto"/>
              <w:jc w:val="center"/>
              <w:rPr>
                <w:b/>
                <w:bCs/>
                <w:iCs/>
                <w:color w:val="auto"/>
                <w:szCs w:val="21"/>
              </w:rPr>
            </w:pPr>
            <w:bookmarkStart w:id="7" w:name="_Toc32567"/>
            <w:r>
              <w:rPr>
                <w:rFonts w:hint="eastAsia"/>
                <w:b/>
                <w:bCs/>
                <w:iCs/>
                <w:color w:val="auto"/>
                <w:szCs w:val="21"/>
              </w:rPr>
              <w:t>图</w:t>
            </w:r>
            <w:r>
              <w:rPr>
                <w:b/>
                <w:bCs/>
                <w:iCs/>
                <w:color w:val="auto"/>
                <w:szCs w:val="21"/>
              </w:rPr>
              <w:t>1-1   220</w:t>
            </w:r>
            <w:r>
              <w:rPr>
                <w:b/>
                <w:color w:val="auto"/>
                <w:kern w:val="0"/>
                <w:szCs w:val="21"/>
              </w:rPr>
              <w:t>kV</w:t>
            </w:r>
            <w:r>
              <w:rPr>
                <w:rFonts w:hint="eastAsia"/>
                <w:b/>
                <w:color w:val="auto"/>
                <w:kern w:val="0"/>
                <w:szCs w:val="21"/>
              </w:rPr>
              <w:t>儒林变</w:t>
            </w:r>
            <w:r>
              <w:rPr>
                <w:b/>
                <w:color w:val="auto"/>
                <w:kern w:val="0"/>
                <w:szCs w:val="21"/>
              </w:rPr>
              <w:t>110kV</w:t>
            </w:r>
            <w:r>
              <w:rPr>
                <w:rFonts w:hint="eastAsia"/>
                <w:b/>
                <w:color w:val="auto"/>
                <w:kern w:val="0"/>
                <w:szCs w:val="21"/>
              </w:rPr>
              <w:t>间隔出线情况</w:t>
            </w:r>
          </w:p>
          <w:p>
            <w:pPr>
              <w:autoSpaceDE w:val="0"/>
              <w:autoSpaceDN w:val="0"/>
              <w:adjustRightInd w:val="0"/>
              <w:jc w:val="center"/>
              <w:rPr>
                <w:b/>
                <w:bCs/>
                <w:iCs/>
                <w:color w:val="auto"/>
                <w:szCs w:val="21"/>
              </w:rPr>
            </w:pPr>
            <w:r>
              <w:rPr>
                <w:rFonts w:hint="eastAsia"/>
                <w:b/>
                <w:bCs/>
                <w:iCs/>
                <w:color w:val="auto"/>
                <w:szCs w:val="21"/>
              </w:rPr>
              <w:t>表</w:t>
            </w:r>
            <w:r>
              <w:rPr>
                <w:b/>
                <w:bCs/>
                <w:iCs/>
                <w:color w:val="auto"/>
                <w:szCs w:val="21"/>
              </w:rPr>
              <w:t xml:space="preserve">1-5   </w:t>
            </w:r>
            <w:r>
              <w:rPr>
                <w:rFonts w:hint="eastAsia"/>
                <w:b/>
                <w:bCs/>
                <w:iCs/>
                <w:color w:val="auto"/>
                <w:szCs w:val="21"/>
              </w:rPr>
              <w:t>线路工程主要交叉跨越统计表</w:t>
            </w:r>
          </w:p>
          <w:tbl>
            <w:tblPr>
              <w:tblStyle w:val="8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2552"/>
              <w:gridCol w:w="1559"/>
              <w:gridCol w:w="3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autoSpaceDE w:val="0"/>
                    <w:autoSpaceDN w:val="0"/>
                    <w:adjustRightInd w:val="0"/>
                    <w:jc w:val="center"/>
                    <w:rPr>
                      <w:bCs/>
                      <w:iCs/>
                      <w:color w:val="auto"/>
                      <w:szCs w:val="21"/>
                    </w:rPr>
                  </w:pPr>
                  <w:r>
                    <w:rPr>
                      <w:rFonts w:hint="eastAsia"/>
                      <w:bCs/>
                      <w:iCs/>
                      <w:color w:val="auto"/>
                      <w:szCs w:val="21"/>
                    </w:rPr>
                    <w:t>序号</w:t>
                  </w:r>
                </w:p>
              </w:tc>
              <w:tc>
                <w:tcPr>
                  <w:tcW w:w="2552" w:type="dxa"/>
                </w:tcPr>
                <w:p>
                  <w:pPr>
                    <w:autoSpaceDE w:val="0"/>
                    <w:autoSpaceDN w:val="0"/>
                    <w:adjustRightInd w:val="0"/>
                    <w:jc w:val="center"/>
                    <w:rPr>
                      <w:bCs/>
                      <w:iCs/>
                      <w:color w:val="auto"/>
                      <w:szCs w:val="21"/>
                    </w:rPr>
                  </w:pPr>
                  <w:r>
                    <w:rPr>
                      <w:rFonts w:hint="eastAsia"/>
                      <w:bCs/>
                      <w:iCs/>
                      <w:color w:val="auto"/>
                      <w:szCs w:val="21"/>
                    </w:rPr>
                    <w:t>被跨越物或改迁物</w:t>
                  </w:r>
                </w:p>
              </w:tc>
              <w:tc>
                <w:tcPr>
                  <w:tcW w:w="1559" w:type="dxa"/>
                </w:tcPr>
                <w:p>
                  <w:pPr>
                    <w:autoSpaceDE w:val="0"/>
                    <w:autoSpaceDN w:val="0"/>
                    <w:adjustRightInd w:val="0"/>
                    <w:jc w:val="center"/>
                    <w:rPr>
                      <w:bCs/>
                      <w:iCs/>
                      <w:color w:val="auto"/>
                      <w:szCs w:val="21"/>
                    </w:rPr>
                  </w:pPr>
                  <w:r>
                    <w:rPr>
                      <w:rFonts w:hint="eastAsia"/>
                      <w:bCs/>
                      <w:iCs/>
                      <w:color w:val="auto"/>
                      <w:szCs w:val="21"/>
                    </w:rPr>
                    <w:t>数量</w:t>
                  </w:r>
                </w:p>
              </w:tc>
              <w:tc>
                <w:tcPr>
                  <w:tcW w:w="3872" w:type="dxa"/>
                </w:tcPr>
                <w:p>
                  <w:pPr>
                    <w:autoSpaceDE w:val="0"/>
                    <w:autoSpaceDN w:val="0"/>
                    <w:adjustRightInd w:val="0"/>
                    <w:jc w:val="center"/>
                    <w:rPr>
                      <w:bCs/>
                      <w:iCs/>
                      <w:color w:val="auto"/>
                      <w:szCs w:val="21"/>
                    </w:rPr>
                  </w:pPr>
                  <w:r>
                    <w:rPr>
                      <w:rFonts w:hint="eastAsia"/>
                      <w:bCs/>
                      <w:i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autoSpaceDE w:val="0"/>
                    <w:autoSpaceDN w:val="0"/>
                    <w:adjustRightInd w:val="0"/>
                    <w:jc w:val="center"/>
                    <w:rPr>
                      <w:bCs/>
                      <w:iCs/>
                      <w:color w:val="auto"/>
                      <w:szCs w:val="21"/>
                    </w:rPr>
                  </w:pPr>
                  <w:r>
                    <w:rPr>
                      <w:bCs/>
                      <w:iCs/>
                      <w:color w:val="auto"/>
                      <w:szCs w:val="21"/>
                    </w:rPr>
                    <w:t>1</w:t>
                  </w:r>
                </w:p>
              </w:tc>
              <w:tc>
                <w:tcPr>
                  <w:tcW w:w="2552" w:type="dxa"/>
                </w:tcPr>
                <w:p>
                  <w:pPr>
                    <w:autoSpaceDE w:val="0"/>
                    <w:autoSpaceDN w:val="0"/>
                    <w:adjustRightInd w:val="0"/>
                    <w:jc w:val="center"/>
                    <w:rPr>
                      <w:bCs/>
                      <w:iCs/>
                      <w:color w:val="auto"/>
                      <w:szCs w:val="21"/>
                    </w:rPr>
                  </w:pPr>
                  <w:r>
                    <w:rPr>
                      <w:bCs/>
                      <w:iCs/>
                      <w:color w:val="auto"/>
                      <w:szCs w:val="21"/>
                    </w:rPr>
                    <w:t>10kV</w:t>
                  </w:r>
                  <w:r>
                    <w:rPr>
                      <w:rFonts w:hint="eastAsia"/>
                      <w:bCs/>
                      <w:iCs/>
                      <w:color w:val="auto"/>
                      <w:szCs w:val="21"/>
                    </w:rPr>
                    <w:t>电力线</w:t>
                  </w:r>
                </w:p>
              </w:tc>
              <w:tc>
                <w:tcPr>
                  <w:tcW w:w="1559" w:type="dxa"/>
                </w:tcPr>
                <w:p>
                  <w:pPr>
                    <w:autoSpaceDE w:val="0"/>
                    <w:autoSpaceDN w:val="0"/>
                    <w:adjustRightInd w:val="0"/>
                    <w:jc w:val="center"/>
                    <w:rPr>
                      <w:bCs/>
                      <w:iCs/>
                      <w:color w:val="auto"/>
                      <w:szCs w:val="21"/>
                    </w:rPr>
                  </w:pPr>
                  <w:r>
                    <w:rPr>
                      <w:bCs/>
                      <w:iCs/>
                      <w:color w:val="auto"/>
                      <w:szCs w:val="21"/>
                    </w:rPr>
                    <w:t>2</w:t>
                  </w:r>
                </w:p>
              </w:tc>
              <w:tc>
                <w:tcPr>
                  <w:tcW w:w="3872" w:type="dxa"/>
                </w:tcPr>
                <w:p>
                  <w:pPr>
                    <w:autoSpaceDE w:val="0"/>
                    <w:autoSpaceDN w:val="0"/>
                    <w:adjustRightInd w:val="0"/>
                    <w:jc w:val="center"/>
                    <w:rPr>
                      <w:bCs/>
                      <w:iCs/>
                      <w:color w:val="auto"/>
                      <w:szCs w:val="21"/>
                    </w:rPr>
                  </w:pPr>
                  <w:r>
                    <w:rPr>
                      <w:bCs/>
                      <w:iCs/>
                      <w:color w:val="auto"/>
                      <w:szCs w:val="21"/>
                    </w:rPr>
                    <w:t>10kV</w:t>
                  </w:r>
                  <w:r>
                    <w:rPr>
                      <w:rFonts w:hint="eastAsia"/>
                      <w:bCs/>
                      <w:iCs/>
                      <w:color w:val="auto"/>
                      <w:szCs w:val="21"/>
                    </w:rPr>
                    <w:t>儒政、儒工线，需改迁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autoSpaceDE w:val="0"/>
                    <w:autoSpaceDN w:val="0"/>
                    <w:adjustRightInd w:val="0"/>
                    <w:jc w:val="center"/>
                    <w:rPr>
                      <w:bCs/>
                      <w:iCs/>
                      <w:color w:val="auto"/>
                      <w:szCs w:val="21"/>
                    </w:rPr>
                  </w:pPr>
                  <w:r>
                    <w:rPr>
                      <w:bCs/>
                      <w:iCs/>
                      <w:color w:val="auto"/>
                      <w:szCs w:val="21"/>
                    </w:rPr>
                    <w:t>2</w:t>
                  </w:r>
                </w:p>
              </w:tc>
              <w:tc>
                <w:tcPr>
                  <w:tcW w:w="2552" w:type="dxa"/>
                </w:tcPr>
                <w:p>
                  <w:pPr>
                    <w:autoSpaceDE w:val="0"/>
                    <w:autoSpaceDN w:val="0"/>
                    <w:adjustRightInd w:val="0"/>
                    <w:jc w:val="center"/>
                    <w:rPr>
                      <w:bCs/>
                      <w:iCs/>
                      <w:color w:val="auto"/>
                      <w:szCs w:val="21"/>
                    </w:rPr>
                  </w:pPr>
                  <w:r>
                    <w:rPr>
                      <w:bCs/>
                      <w:iCs/>
                      <w:color w:val="auto"/>
                      <w:szCs w:val="21"/>
                    </w:rPr>
                    <w:t>35kV</w:t>
                  </w:r>
                  <w:r>
                    <w:rPr>
                      <w:rFonts w:hint="eastAsia"/>
                      <w:bCs/>
                      <w:iCs/>
                      <w:color w:val="auto"/>
                      <w:szCs w:val="21"/>
                    </w:rPr>
                    <w:t>电力线</w:t>
                  </w:r>
                </w:p>
              </w:tc>
              <w:tc>
                <w:tcPr>
                  <w:tcW w:w="1559" w:type="dxa"/>
                </w:tcPr>
                <w:p>
                  <w:pPr>
                    <w:autoSpaceDE w:val="0"/>
                    <w:autoSpaceDN w:val="0"/>
                    <w:adjustRightInd w:val="0"/>
                    <w:jc w:val="center"/>
                    <w:rPr>
                      <w:bCs/>
                      <w:iCs/>
                      <w:color w:val="auto"/>
                      <w:szCs w:val="21"/>
                    </w:rPr>
                  </w:pPr>
                  <w:r>
                    <w:rPr>
                      <w:bCs/>
                      <w:iCs/>
                      <w:color w:val="auto"/>
                      <w:szCs w:val="21"/>
                    </w:rPr>
                    <w:t>1</w:t>
                  </w:r>
                </w:p>
              </w:tc>
              <w:tc>
                <w:tcPr>
                  <w:tcW w:w="3872" w:type="dxa"/>
                </w:tcPr>
                <w:p>
                  <w:pPr>
                    <w:autoSpaceDE w:val="0"/>
                    <w:autoSpaceDN w:val="0"/>
                    <w:adjustRightInd w:val="0"/>
                    <w:jc w:val="center"/>
                    <w:rPr>
                      <w:bCs/>
                      <w:iCs/>
                      <w:color w:val="auto"/>
                      <w:szCs w:val="21"/>
                    </w:rPr>
                  </w:pPr>
                  <w:r>
                    <w:rPr>
                      <w:bCs/>
                      <w:iCs/>
                      <w:color w:val="auto"/>
                      <w:szCs w:val="21"/>
                    </w:rPr>
                    <w:t>35kV</w:t>
                  </w:r>
                  <w:r>
                    <w:rPr>
                      <w:rFonts w:hint="eastAsia"/>
                      <w:bCs/>
                      <w:iCs/>
                      <w:color w:val="auto"/>
                      <w:szCs w:val="21"/>
                    </w:rPr>
                    <w:t>北茅</w:t>
                  </w:r>
                  <w:r>
                    <w:rPr>
                      <w:bCs/>
                      <w:iCs/>
                      <w:color w:val="auto"/>
                      <w:szCs w:val="21"/>
                    </w:rPr>
                    <w:t>1</w:t>
                  </w:r>
                  <w:r>
                    <w:rPr>
                      <w:rFonts w:hint="eastAsia"/>
                      <w:bCs/>
                      <w:iCs/>
                      <w:color w:val="auto"/>
                      <w:szCs w:val="21"/>
                    </w:rPr>
                    <w:t>线，需改迁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autoSpaceDE w:val="0"/>
                    <w:autoSpaceDN w:val="0"/>
                    <w:adjustRightInd w:val="0"/>
                    <w:jc w:val="center"/>
                    <w:rPr>
                      <w:bCs/>
                      <w:iCs/>
                      <w:color w:val="auto"/>
                      <w:szCs w:val="21"/>
                    </w:rPr>
                  </w:pPr>
                  <w:r>
                    <w:rPr>
                      <w:bCs/>
                      <w:iCs/>
                      <w:color w:val="auto"/>
                      <w:szCs w:val="21"/>
                    </w:rPr>
                    <w:t>3</w:t>
                  </w:r>
                </w:p>
              </w:tc>
              <w:tc>
                <w:tcPr>
                  <w:tcW w:w="2552" w:type="dxa"/>
                </w:tcPr>
                <w:p>
                  <w:pPr>
                    <w:autoSpaceDE w:val="0"/>
                    <w:autoSpaceDN w:val="0"/>
                    <w:adjustRightInd w:val="0"/>
                    <w:jc w:val="center"/>
                    <w:rPr>
                      <w:bCs/>
                      <w:iCs/>
                      <w:color w:val="auto"/>
                      <w:szCs w:val="21"/>
                    </w:rPr>
                  </w:pPr>
                  <w:r>
                    <w:rPr>
                      <w:rFonts w:hint="eastAsia"/>
                      <w:bCs/>
                      <w:iCs/>
                      <w:color w:val="auto"/>
                      <w:szCs w:val="21"/>
                    </w:rPr>
                    <w:t>乡村道路</w:t>
                  </w:r>
                </w:p>
              </w:tc>
              <w:tc>
                <w:tcPr>
                  <w:tcW w:w="1559" w:type="dxa"/>
                </w:tcPr>
                <w:p>
                  <w:pPr>
                    <w:autoSpaceDE w:val="0"/>
                    <w:autoSpaceDN w:val="0"/>
                    <w:adjustRightInd w:val="0"/>
                    <w:jc w:val="center"/>
                    <w:rPr>
                      <w:bCs/>
                      <w:iCs/>
                      <w:color w:val="auto"/>
                      <w:szCs w:val="21"/>
                    </w:rPr>
                  </w:pPr>
                  <w:r>
                    <w:rPr>
                      <w:bCs/>
                      <w:iCs/>
                      <w:color w:val="auto"/>
                      <w:szCs w:val="21"/>
                    </w:rPr>
                    <w:t>1</w:t>
                  </w:r>
                </w:p>
              </w:tc>
              <w:tc>
                <w:tcPr>
                  <w:tcW w:w="3872" w:type="dxa"/>
                </w:tcPr>
                <w:p>
                  <w:pPr>
                    <w:autoSpaceDE w:val="0"/>
                    <w:autoSpaceDN w:val="0"/>
                    <w:adjustRightInd w:val="0"/>
                    <w:jc w:val="center"/>
                    <w:rPr>
                      <w:bCs/>
                      <w:iCs/>
                      <w:color w:val="auto"/>
                      <w:szCs w:val="21"/>
                    </w:rPr>
                  </w:pPr>
                  <w:r>
                    <w:rPr>
                      <w:rFonts w:hint="eastAsia"/>
                      <w:bCs/>
                      <w:iCs/>
                      <w:color w:val="auto"/>
                      <w:szCs w:val="21"/>
                    </w:rPr>
                    <w:t>儒林变进站路</w:t>
                  </w:r>
                </w:p>
              </w:tc>
            </w:tr>
          </w:tbl>
          <w:p>
            <w:pPr>
              <w:autoSpaceDE w:val="0"/>
              <w:autoSpaceDN w:val="0"/>
              <w:adjustRightInd w:val="0"/>
              <w:ind w:firstLine="482" w:firstLineChars="200"/>
              <w:rPr>
                <w:b/>
                <w:bCs/>
                <w:iCs/>
                <w:color w:val="auto"/>
                <w:sz w:val="24"/>
                <w:szCs w:val="24"/>
              </w:rPr>
            </w:pPr>
            <w:r>
              <w:rPr>
                <w:rFonts w:hint="eastAsia"/>
                <w:b/>
                <w:bCs/>
                <w:iCs/>
                <w:color w:val="auto"/>
                <w:sz w:val="24"/>
                <w:szCs w:val="24"/>
              </w:rPr>
              <w:t>本工程路径协议如下表。</w:t>
            </w:r>
          </w:p>
          <w:p>
            <w:pPr>
              <w:autoSpaceDE w:val="0"/>
              <w:autoSpaceDN w:val="0"/>
              <w:adjustRightInd w:val="0"/>
              <w:ind w:firstLine="422" w:firstLineChars="200"/>
              <w:jc w:val="center"/>
              <w:rPr>
                <w:b/>
                <w:bCs/>
                <w:iCs/>
                <w:color w:val="auto"/>
                <w:szCs w:val="21"/>
              </w:rPr>
            </w:pPr>
            <w:r>
              <w:rPr>
                <w:rFonts w:hint="eastAsia"/>
                <w:b/>
                <w:bCs/>
                <w:iCs/>
                <w:color w:val="auto"/>
                <w:szCs w:val="21"/>
              </w:rPr>
              <w:t>表</w:t>
            </w:r>
            <w:r>
              <w:rPr>
                <w:b/>
                <w:bCs/>
                <w:iCs/>
                <w:color w:val="auto"/>
                <w:szCs w:val="21"/>
              </w:rPr>
              <w:t xml:space="preserve">1-6   </w:t>
            </w:r>
            <w:r>
              <w:rPr>
                <w:rFonts w:hint="eastAsia"/>
                <w:b/>
                <w:bCs/>
                <w:iCs/>
                <w:color w:val="auto"/>
                <w:szCs w:val="21"/>
              </w:rPr>
              <w:t>路径协议一览表</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3080"/>
              <w:gridCol w:w="4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pct"/>
                </w:tcPr>
                <w:p>
                  <w:pPr>
                    <w:autoSpaceDE w:val="0"/>
                    <w:autoSpaceDN w:val="0"/>
                    <w:adjustRightInd w:val="0"/>
                    <w:jc w:val="center"/>
                    <w:rPr>
                      <w:bCs/>
                      <w:iCs/>
                      <w:color w:val="auto"/>
                      <w:szCs w:val="21"/>
                    </w:rPr>
                  </w:pPr>
                  <w:r>
                    <w:rPr>
                      <w:rFonts w:hint="eastAsia"/>
                      <w:bCs/>
                      <w:iCs/>
                      <w:color w:val="auto"/>
                      <w:szCs w:val="21"/>
                    </w:rPr>
                    <w:t>序号</w:t>
                  </w:r>
                </w:p>
              </w:tc>
              <w:tc>
                <w:tcPr>
                  <w:tcW w:w="1689" w:type="pct"/>
                </w:tcPr>
                <w:p>
                  <w:pPr>
                    <w:autoSpaceDE w:val="0"/>
                    <w:autoSpaceDN w:val="0"/>
                    <w:adjustRightInd w:val="0"/>
                    <w:jc w:val="center"/>
                    <w:rPr>
                      <w:bCs/>
                      <w:iCs/>
                      <w:color w:val="auto"/>
                      <w:szCs w:val="21"/>
                    </w:rPr>
                  </w:pPr>
                  <w:r>
                    <w:rPr>
                      <w:rFonts w:hint="eastAsia"/>
                      <w:bCs/>
                      <w:iCs/>
                      <w:color w:val="auto"/>
                      <w:szCs w:val="21"/>
                    </w:rPr>
                    <w:t>单位名称</w:t>
                  </w:r>
                </w:p>
              </w:tc>
              <w:tc>
                <w:tcPr>
                  <w:tcW w:w="2563" w:type="pct"/>
                </w:tcPr>
                <w:p>
                  <w:pPr>
                    <w:autoSpaceDE w:val="0"/>
                    <w:autoSpaceDN w:val="0"/>
                    <w:adjustRightInd w:val="0"/>
                    <w:jc w:val="center"/>
                    <w:rPr>
                      <w:bCs/>
                      <w:iCs/>
                      <w:color w:val="auto"/>
                      <w:szCs w:val="21"/>
                    </w:rPr>
                  </w:pPr>
                  <w:r>
                    <w:rPr>
                      <w:rFonts w:hint="eastAsia"/>
                      <w:bCs/>
                      <w:iCs/>
                      <w:color w:val="auto"/>
                      <w:szCs w:val="21"/>
                    </w:rPr>
                    <w:t>协议意见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pct"/>
                </w:tcPr>
                <w:p>
                  <w:pPr>
                    <w:autoSpaceDE w:val="0"/>
                    <w:autoSpaceDN w:val="0"/>
                    <w:adjustRightInd w:val="0"/>
                    <w:jc w:val="center"/>
                    <w:rPr>
                      <w:bCs/>
                      <w:iCs/>
                      <w:color w:val="auto"/>
                      <w:szCs w:val="21"/>
                    </w:rPr>
                  </w:pPr>
                  <w:r>
                    <w:rPr>
                      <w:bCs/>
                      <w:iCs/>
                      <w:color w:val="auto"/>
                      <w:szCs w:val="21"/>
                    </w:rPr>
                    <w:t>1</w:t>
                  </w:r>
                </w:p>
              </w:tc>
              <w:tc>
                <w:tcPr>
                  <w:tcW w:w="1689" w:type="pct"/>
                </w:tcPr>
                <w:p>
                  <w:pPr>
                    <w:autoSpaceDE w:val="0"/>
                    <w:autoSpaceDN w:val="0"/>
                    <w:adjustRightInd w:val="0"/>
                    <w:jc w:val="center"/>
                    <w:rPr>
                      <w:bCs/>
                      <w:iCs/>
                      <w:color w:val="auto"/>
                      <w:szCs w:val="21"/>
                    </w:rPr>
                  </w:pPr>
                  <w:r>
                    <w:rPr>
                      <w:rFonts w:hint="eastAsia"/>
                      <w:bCs/>
                      <w:iCs/>
                      <w:color w:val="auto"/>
                      <w:szCs w:val="21"/>
                    </w:rPr>
                    <w:t>城步县政府</w:t>
                  </w:r>
                </w:p>
              </w:tc>
              <w:tc>
                <w:tcPr>
                  <w:tcW w:w="2563" w:type="pct"/>
                </w:tcPr>
                <w:p>
                  <w:pPr>
                    <w:autoSpaceDE w:val="0"/>
                    <w:autoSpaceDN w:val="0"/>
                    <w:adjustRightInd w:val="0"/>
                    <w:jc w:val="center"/>
                    <w:rPr>
                      <w:bCs/>
                      <w:iCs/>
                      <w:color w:val="auto"/>
                      <w:szCs w:val="21"/>
                    </w:rPr>
                  </w:pPr>
                  <w:r>
                    <w:rPr>
                      <w:rFonts w:hint="eastAsia"/>
                      <w:bCs/>
                      <w:iCs/>
                      <w:color w:val="auto"/>
                      <w:szCs w:val="21"/>
                    </w:rPr>
                    <w:t>原则同意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pct"/>
                </w:tcPr>
                <w:p>
                  <w:pPr>
                    <w:autoSpaceDE w:val="0"/>
                    <w:autoSpaceDN w:val="0"/>
                    <w:adjustRightInd w:val="0"/>
                    <w:jc w:val="center"/>
                    <w:rPr>
                      <w:bCs/>
                      <w:iCs/>
                      <w:color w:val="auto"/>
                      <w:szCs w:val="21"/>
                    </w:rPr>
                  </w:pPr>
                  <w:r>
                    <w:rPr>
                      <w:bCs/>
                      <w:iCs/>
                      <w:color w:val="auto"/>
                      <w:szCs w:val="21"/>
                    </w:rPr>
                    <w:t>2</w:t>
                  </w:r>
                </w:p>
              </w:tc>
              <w:tc>
                <w:tcPr>
                  <w:tcW w:w="1689" w:type="pct"/>
                </w:tcPr>
                <w:p>
                  <w:pPr>
                    <w:autoSpaceDE w:val="0"/>
                    <w:autoSpaceDN w:val="0"/>
                    <w:adjustRightInd w:val="0"/>
                    <w:jc w:val="center"/>
                    <w:rPr>
                      <w:bCs/>
                      <w:iCs/>
                      <w:color w:val="auto"/>
                      <w:szCs w:val="21"/>
                    </w:rPr>
                  </w:pPr>
                  <w:r>
                    <w:rPr>
                      <w:rFonts w:hint="eastAsia"/>
                      <w:bCs/>
                      <w:iCs/>
                      <w:color w:val="auto"/>
                      <w:szCs w:val="21"/>
                    </w:rPr>
                    <w:t>城步县自然资源局</w:t>
                  </w:r>
                </w:p>
              </w:tc>
              <w:tc>
                <w:tcPr>
                  <w:tcW w:w="2563" w:type="pct"/>
                </w:tcPr>
                <w:p>
                  <w:pPr>
                    <w:autoSpaceDE w:val="0"/>
                    <w:autoSpaceDN w:val="0"/>
                    <w:adjustRightInd w:val="0"/>
                    <w:jc w:val="center"/>
                    <w:rPr>
                      <w:bCs/>
                      <w:iCs/>
                      <w:color w:val="auto"/>
                      <w:szCs w:val="21"/>
                    </w:rPr>
                  </w:pPr>
                  <w:r>
                    <w:rPr>
                      <w:rFonts w:hint="eastAsia"/>
                      <w:bCs/>
                      <w:iCs/>
                      <w:color w:val="auto"/>
                      <w:szCs w:val="21"/>
                    </w:rPr>
                    <w:t>原则同意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 w:type="pct"/>
                </w:tcPr>
                <w:p>
                  <w:pPr>
                    <w:autoSpaceDE w:val="0"/>
                    <w:autoSpaceDN w:val="0"/>
                    <w:adjustRightInd w:val="0"/>
                    <w:jc w:val="center"/>
                    <w:rPr>
                      <w:bCs/>
                      <w:iCs/>
                      <w:color w:val="auto"/>
                      <w:szCs w:val="21"/>
                    </w:rPr>
                  </w:pPr>
                  <w:r>
                    <w:rPr>
                      <w:bCs/>
                      <w:iCs/>
                      <w:color w:val="auto"/>
                      <w:szCs w:val="21"/>
                    </w:rPr>
                    <w:t>3</w:t>
                  </w:r>
                </w:p>
              </w:tc>
              <w:tc>
                <w:tcPr>
                  <w:tcW w:w="1689" w:type="pct"/>
                </w:tcPr>
                <w:p>
                  <w:pPr>
                    <w:autoSpaceDE w:val="0"/>
                    <w:autoSpaceDN w:val="0"/>
                    <w:adjustRightInd w:val="0"/>
                    <w:jc w:val="center"/>
                    <w:rPr>
                      <w:bCs/>
                      <w:iCs/>
                      <w:color w:val="auto"/>
                      <w:szCs w:val="21"/>
                    </w:rPr>
                  </w:pPr>
                  <w:r>
                    <w:rPr>
                      <w:rFonts w:hint="eastAsia"/>
                      <w:bCs/>
                      <w:iCs/>
                      <w:color w:val="auto"/>
                      <w:szCs w:val="21"/>
                    </w:rPr>
                    <w:t>城步县林业局</w:t>
                  </w:r>
                </w:p>
              </w:tc>
              <w:tc>
                <w:tcPr>
                  <w:tcW w:w="2563" w:type="pct"/>
                </w:tcPr>
                <w:p>
                  <w:pPr>
                    <w:autoSpaceDE w:val="0"/>
                    <w:autoSpaceDN w:val="0"/>
                    <w:adjustRightInd w:val="0"/>
                    <w:jc w:val="center"/>
                    <w:rPr>
                      <w:bCs/>
                      <w:iCs/>
                      <w:color w:val="auto"/>
                      <w:szCs w:val="21"/>
                    </w:rPr>
                  </w:pPr>
                  <w:r>
                    <w:rPr>
                      <w:rFonts w:hint="eastAsia"/>
                      <w:bCs/>
                      <w:iCs/>
                      <w:color w:val="auto"/>
                      <w:szCs w:val="21"/>
                    </w:rPr>
                    <w:t>原则同意</w:t>
                  </w:r>
                </w:p>
              </w:tc>
            </w:tr>
          </w:tbl>
          <w:p>
            <w:pPr>
              <w:spacing w:line="360" w:lineRule="auto"/>
              <w:rPr>
                <w:b/>
                <w:bCs/>
                <w:iCs/>
                <w:color w:val="auto"/>
                <w:sz w:val="24"/>
              </w:rPr>
            </w:pPr>
            <w:r>
              <w:rPr>
                <w:b/>
                <w:bCs/>
                <w:iCs/>
                <w:color w:val="auto"/>
                <w:sz w:val="24"/>
              </w:rPr>
              <w:t>2.7</w:t>
            </w:r>
            <w:r>
              <w:rPr>
                <w:rFonts w:hint="eastAsia"/>
                <w:b/>
                <w:bCs/>
                <w:iCs/>
                <w:color w:val="auto"/>
                <w:sz w:val="24"/>
              </w:rPr>
              <w:t>劳动定员</w:t>
            </w:r>
            <w:bookmarkEnd w:id="7"/>
          </w:p>
          <w:p>
            <w:pPr>
              <w:autoSpaceDE w:val="0"/>
              <w:autoSpaceDN w:val="0"/>
              <w:adjustRightInd w:val="0"/>
              <w:snapToGrid w:val="0"/>
              <w:spacing w:line="360" w:lineRule="auto"/>
              <w:ind w:firstLine="472"/>
              <w:jc w:val="left"/>
              <w:rPr>
                <w:color w:val="auto"/>
                <w:kern w:val="0"/>
                <w:sz w:val="26"/>
                <w:szCs w:val="26"/>
              </w:rPr>
            </w:pPr>
            <w:r>
              <w:rPr>
                <w:rFonts w:hint="eastAsia"/>
                <w:iCs/>
                <w:color w:val="auto"/>
                <w:kern w:val="0"/>
                <w:sz w:val="24"/>
              </w:rPr>
              <w:t>储能变电站按时为无人值班设计，平时值守人员为</w:t>
            </w:r>
            <w:r>
              <w:rPr>
                <w:iCs/>
                <w:color w:val="auto"/>
                <w:kern w:val="0"/>
                <w:sz w:val="24"/>
              </w:rPr>
              <w:t>2</w:t>
            </w:r>
            <w:r>
              <w:rPr>
                <w:rFonts w:hint="eastAsia"/>
                <w:iCs/>
                <w:color w:val="auto"/>
                <w:kern w:val="0"/>
                <w:sz w:val="24"/>
              </w:rPr>
              <w:t>人</w:t>
            </w:r>
            <w:r>
              <w:rPr>
                <w:rFonts w:hint="eastAsia"/>
                <w:color w:val="auto"/>
                <w:kern w:val="0"/>
                <w:sz w:val="26"/>
                <w:szCs w:val="26"/>
              </w:rPr>
              <w:t>。</w:t>
            </w:r>
          </w:p>
          <w:p>
            <w:pPr>
              <w:spacing w:line="360" w:lineRule="auto"/>
              <w:outlineLvl w:val="1"/>
              <w:rPr>
                <w:b/>
                <w:color w:val="auto"/>
                <w:sz w:val="28"/>
                <w:szCs w:val="28"/>
              </w:rPr>
            </w:pPr>
            <w:r>
              <w:rPr>
                <w:b/>
                <w:color w:val="auto"/>
                <w:sz w:val="28"/>
                <w:szCs w:val="28"/>
              </w:rPr>
              <w:t>1.3</w:t>
            </w:r>
            <w:r>
              <w:rPr>
                <w:rFonts w:hint="eastAsia"/>
                <w:b/>
                <w:color w:val="auto"/>
                <w:sz w:val="28"/>
                <w:szCs w:val="28"/>
              </w:rPr>
              <w:t>编制依据</w:t>
            </w:r>
          </w:p>
          <w:p>
            <w:pPr>
              <w:spacing w:line="360" w:lineRule="auto"/>
              <w:rPr>
                <w:b/>
                <w:bCs/>
                <w:iCs/>
                <w:color w:val="auto"/>
                <w:sz w:val="24"/>
              </w:rPr>
            </w:pPr>
            <w:r>
              <w:rPr>
                <w:b/>
                <w:bCs/>
                <w:iCs/>
                <w:color w:val="auto"/>
                <w:sz w:val="24"/>
              </w:rPr>
              <w:t>1.3.1</w:t>
            </w:r>
            <w:r>
              <w:rPr>
                <w:rFonts w:hint="eastAsia"/>
                <w:b/>
                <w:bCs/>
                <w:iCs/>
                <w:color w:val="auto"/>
                <w:sz w:val="24"/>
              </w:rPr>
              <w:t>环境保护法规、条例和文件</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1</w:t>
            </w:r>
            <w:r>
              <w:rPr>
                <w:rFonts w:hint="eastAsia"/>
                <w:iCs/>
                <w:color w:val="auto"/>
                <w:kern w:val="0"/>
                <w:sz w:val="24"/>
              </w:rPr>
              <w:t>）《中华人民共和国环境保护法》（</w:t>
            </w:r>
            <w:r>
              <w:rPr>
                <w:iCs/>
                <w:color w:val="auto"/>
                <w:kern w:val="0"/>
                <w:sz w:val="24"/>
              </w:rPr>
              <w:t>2015</w:t>
            </w:r>
            <w:r>
              <w:rPr>
                <w:rFonts w:hint="eastAsia"/>
                <w:iCs/>
                <w:color w:val="auto"/>
                <w:kern w:val="0"/>
                <w:sz w:val="24"/>
              </w:rPr>
              <w:t>年</w:t>
            </w:r>
            <w:r>
              <w:rPr>
                <w:iCs/>
                <w:color w:val="auto"/>
                <w:kern w:val="0"/>
                <w:sz w:val="24"/>
              </w:rPr>
              <w:t xml:space="preserve">1 </w:t>
            </w:r>
            <w:r>
              <w:rPr>
                <w:rFonts w:hint="eastAsia"/>
                <w:iCs/>
                <w:color w:val="auto"/>
                <w:kern w:val="0"/>
                <w:sz w:val="24"/>
              </w:rPr>
              <w:t>月</w:t>
            </w:r>
            <w:r>
              <w:rPr>
                <w:iCs/>
                <w:color w:val="auto"/>
                <w:kern w:val="0"/>
                <w:sz w:val="24"/>
              </w:rPr>
              <w:t>1</w:t>
            </w:r>
            <w:r>
              <w:rPr>
                <w:rFonts w:hint="eastAsia"/>
                <w:iCs/>
                <w:color w:val="auto"/>
                <w:kern w:val="0"/>
                <w:sz w:val="24"/>
              </w:rPr>
              <w:t>日执行）；</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2</w:t>
            </w:r>
            <w:r>
              <w:rPr>
                <w:rFonts w:hint="eastAsia"/>
                <w:iCs/>
                <w:color w:val="auto"/>
                <w:kern w:val="0"/>
                <w:sz w:val="24"/>
              </w:rPr>
              <w:t>）《中华人民共和国环境影响评价法》（</w:t>
            </w:r>
            <w:r>
              <w:rPr>
                <w:iCs/>
                <w:color w:val="auto"/>
                <w:kern w:val="0"/>
                <w:sz w:val="24"/>
              </w:rPr>
              <w:t>2018</w:t>
            </w:r>
            <w:r>
              <w:rPr>
                <w:rFonts w:hint="eastAsia"/>
                <w:iCs/>
                <w:color w:val="auto"/>
                <w:kern w:val="0"/>
                <w:sz w:val="24"/>
              </w:rPr>
              <w:t>年</w:t>
            </w:r>
            <w:r>
              <w:rPr>
                <w:iCs/>
                <w:color w:val="auto"/>
                <w:kern w:val="0"/>
                <w:sz w:val="24"/>
              </w:rPr>
              <w:t>12</w:t>
            </w:r>
            <w:r>
              <w:rPr>
                <w:rFonts w:hint="eastAsia"/>
                <w:iCs/>
                <w:color w:val="auto"/>
                <w:kern w:val="0"/>
                <w:sz w:val="24"/>
              </w:rPr>
              <w:t>月</w:t>
            </w:r>
            <w:r>
              <w:rPr>
                <w:iCs/>
                <w:color w:val="auto"/>
                <w:kern w:val="0"/>
                <w:sz w:val="24"/>
              </w:rPr>
              <w:t>29</w:t>
            </w:r>
            <w:r>
              <w:rPr>
                <w:rFonts w:hint="eastAsia"/>
                <w:iCs/>
                <w:color w:val="auto"/>
                <w:kern w:val="0"/>
                <w:sz w:val="24"/>
              </w:rPr>
              <w:t>日执行）；</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3</w:t>
            </w:r>
            <w:r>
              <w:rPr>
                <w:rFonts w:hint="eastAsia"/>
                <w:iCs/>
                <w:color w:val="auto"/>
                <w:kern w:val="0"/>
                <w:sz w:val="24"/>
              </w:rPr>
              <w:t>）《中华人民共和国水污染防治法》（</w:t>
            </w:r>
            <w:r>
              <w:rPr>
                <w:iCs/>
                <w:color w:val="auto"/>
                <w:kern w:val="0"/>
                <w:sz w:val="24"/>
              </w:rPr>
              <w:t>2018</w:t>
            </w:r>
            <w:r>
              <w:rPr>
                <w:rFonts w:hint="eastAsia"/>
                <w:iCs/>
                <w:color w:val="auto"/>
                <w:kern w:val="0"/>
                <w:sz w:val="24"/>
              </w:rPr>
              <w:t>年</w:t>
            </w:r>
            <w:r>
              <w:rPr>
                <w:iCs/>
                <w:color w:val="auto"/>
                <w:kern w:val="0"/>
                <w:sz w:val="24"/>
              </w:rPr>
              <w:t>1</w:t>
            </w:r>
            <w:r>
              <w:rPr>
                <w:rFonts w:hint="eastAsia"/>
                <w:iCs/>
                <w:color w:val="auto"/>
                <w:kern w:val="0"/>
                <w:sz w:val="24"/>
              </w:rPr>
              <w:t>月</w:t>
            </w:r>
            <w:r>
              <w:rPr>
                <w:iCs/>
                <w:color w:val="auto"/>
                <w:kern w:val="0"/>
                <w:sz w:val="24"/>
              </w:rPr>
              <w:t>1</w:t>
            </w:r>
            <w:r>
              <w:rPr>
                <w:rFonts w:hint="eastAsia"/>
                <w:iCs/>
                <w:color w:val="auto"/>
                <w:kern w:val="0"/>
                <w:sz w:val="24"/>
              </w:rPr>
              <w:t>日执行）；</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4</w:t>
            </w:r>
            <w:r>
              <w:rPr>
                <w:rFonts w:hint="eastAsia"/>
                <w:iCs/>
                <w:color w:val="auto"/>
                <w:kern w:val="0"/>
                <w:sz w:val="24"/>
              </w:rPr>
              <w:t>）《中华人民共和国环境噪声污染防治法》（</w:t>
            </w:r>
            <w:r>
              <w:rPr>
                <w:iCs/>
                <w:color w:val="auto"/>
                <w:kern w:val="0"/>
                <w:sz w:val="24"/>
              </w:rPr>
              <w:t>2018</w:t>
            </w:r>
            <w:r>
              <w:rPr>
                <w:rFonts w:hint="eastAsia"/>
                <w:iCs/>
                <w:color w:val="auto"/>
                <w:kern w:val="0"/>
                <w:sz w:val="24"/>
              </w:rPr>
              <w:t>年</w:t>
            </w:r>
            <w:r>
              <w:rPr>
                <w:iCs/>
                <w:color w:val="auto"/>
                <w:kern w:val="0"/>
                <w:sz w:val="24"/>
              </w:rPr>
              <w:t>12</w:t>
            </w:r>
            <w:r>
              <w:rPr>
                <w:rFonts w:hint="eastAsia"/>
                <w:iCs/>
                <w:color w:val="auto"/>
                <w:kern w:val="0"/>
                <w:sz w:val="24"/>
              </w:rPr>
              <w:t>月</w:t>
            </w:r>
            <w:r>
              <w:rPr>
                <w:iCs/>
                <w:color w:val="auto"/>
                <w:kern w:val="0"/>
                <w:sz w:val="24"/>
              </w:rPr>
              <w:t>29</w:t>
            </w:r>
            <w:r>
              <w:rPr>
                <w:rFonts w:hint="eastAsia"/>
                <w:iCs/>
                <w:color w:val="auto"/>
                <w:kern w:val="0"/>
                <w:sz w:val="24"/>
              </w:rPr>
              <w:t>日执行）；</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5</w:t>
            </w:r>
            <w:r>
              <w:rPr>
                <w:rFonts w:hint="eastAsia"/>
                <w:iCs/>
                <w:color w:val="auto"/>
                <w:kern w:val="0"/>
                <w:sz w:val="24"/>
              </w:rPr>
              <w:t>）《中华人民共和国水土保持法》（</w:t>
            </w:r>
            <w:r>
              <w:rPr>
                <w:iCs/>
                <w:color w:val="auto"/>
                <w:kern w:val="0"/>
                <w:sz w:val="24"/>
              </w:rPr>
              <w:t>2011</w:t>
            </w:r>
            <w:r>
              <w:rPr>
                <w:rFonts w:hint="eastAsia"/>
                <w:iCs/>
                <w:color w:val="auto"/>
                <w:kern w:val="0"/>
                <w:sz w:val="24"/>
              </w:rPr>
              <w:t>年</w:t>
            </w:r>
            <w:r>
              <w:rPr>
                <w:iCs/>
                <w:color w:val="auto"/>
                <w:kern w:val="0"/>
                <w:sz w:val="24"/>
              </w:rPr>
              <w:t>3</w:t>
            </w:r>
            <w:r>
              <w:rPr>
                <w:rFonts w:hint="eastAsia"/>
                <w:iCs/>
                <w:color w:val="auto"/>
                <w:kern w:val="0"/>
                <w:sz w:val="24"/>
              </w:rPr>
              <w:t>月</w:t>
            </w:r>
            <w:r>
              <w:rPr>
                <w:iCs/>
                <w:color w:val="auto"/>
                <w:kern w:val="0"/>
                <w:sz w:val="24"/>
              </w:rPr>
              <w:t>1</w:t>
            </w:r>
            <w:r>
              <w:rPr>
                <w:rFonts w:hint="eastAsia"/>
                <w:iCs/>
                <w:color w:val="auto"/>
                <w:kern w:val="0"/>
                <w:sz w:val="24"/>
              </w:rPr>
              <w:t>日执行）；</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6</w:t>
            </w:r>
            <w:r>
              <w:rPr>
                <w:rFonts w:hint="eastAsia"/>
                <w:iCs/>
                <w:color w:val="auto"/>
                <w:kern w:val="0"/>
                <w:sz w:val="24"/>
              </w:rPr>
              <w:t>）《中华人民共和国固体废物污染环境防治法》（</w:t>
            </w:r>
            <w:r>
              <w:rPr>
                <w:iCs/>
                <w:color w:val="auto"/>
                <w:kern w:val="0"/>
                <w:sz w:val="24"/>
              </w:rPr>
              <w:t>2020</w:t>
            </w:r>
            <w:r>
              <w:rPr>
                <w:rFonts w:hint="eastAsia"/>
                <w:iCs/>
                <w:color w:val="auto"/>
                <w:kern w:val="0"/>
                <w:sz w:val="24"/>
              </w:rPr>
              <w:t>年</w:t>
            </w:r>
            <w:r>
              <w:rPr>
                <w:iCs/>
                <w:color w:val="auto"/>
                <w:kern w:val="0"/>
                <w:sz w:val="24"/>
              </w:rPr>
              <w:t>9</w:t>
            </w:r>
            <w:r>
              <w:rPr>
                <w:rFonts w:hint="eastAsia"/>
                <w:iCs/>
                <w:color w:val="auto"/>
                <w:kern w:val="0"/>
                <w:sz w:val="24"/>
              </w:rPr>
              <w:t>月</w:t>
            </w:r>
            <w:r>
              <w:rPr>
                <w:iCs/>
                <w:color w:val="auto"/>
                <w:kern w:val="0"/>
                <w:sz w:val="24"/>
              </w:rPr>
              <w:t>1</w:t>
            </w:r>
            <w:r>
              <w:rPr>
                <w:rFonts w:hint="eastAsia"/>
                <w:iCs/>
                <w:color w:val="auto"/>
                <w:kern w:val="0"/>
                <w:sz w:val="24"/>
              </w:rPr>
              <w:t>日执行）；</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7</w:t>
            </w:r>
            <w:r>
              <w:rPr>
                <w:rFonts w:hint="eastAsia"/>
                <w:iCs/>
                <w:color w:val="auto"/>
                <w:kern w:val="0"/>
                <w:sz w:val="24"/>
              </w:rPr>
              <w:t>）《建设项目环境保护管理条例》（</w:t>
            </w:r>
            <w:r>
              <w:rPr>
                <w:iCs/>
                <w:color w:val="auto"/>
                <w:kern w:val="0"/>
                <w:sz w:val="24"/>
              </w:rPr>
              <w:t>2017</w:t>
            </w:r>
            <w:r>
              <w:rPr>
                <w:rFonts w:hint="eastAsia"/>
                <w:iCs/>
                <w:color w:val="auto"/>
                <w:kern w:val="0"/>
                <w:sz w:val="24"/>
              </w:rPr>
              <w:t>年</w:t>
            </w:r>
            <w:r>
              <w:rPr>
                <w:iCs/>
                <w:color w:val="auto"/>
                <w:kern w:val="0"/>
                <w:sz w:val="24"/>
              </w:rPr>
              <w:t>10</w:t>
            </w:r>
            <w:r>
              <w:rPr>
                <w:rFonts w:hint="eastAsia"/>
                <w:iCs/>
                <w:color w:val="auto"/>
                <w:kern w:val="0"/>
                <w:sz w:val="24"/>
              </w:rPr>
              <w:t>月</w:t>
            </w:r>
            <w:r>
              <w:rPr>
                <w:iCs/>
                <w:color w:val="auto"/>
                <w:kern w:val="0"/>
                <w:sz w:val="24"/>
              </w:rPr>
              <w:t>1</w:t>
            </w:r>
            <w:r>
              <w:rPr>
                <w:rFonts w:hint="eastAsia"/>
                <w:iCs/>
                <w:color w:val="auto"/>
                <w:kern w:val="0"/>
                <w:sz w:val="24"/>
              </w:rPr>
              <w:t>日执行）；</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8</w:t>
            </w:r>
            <w:r>
              <w:rPr>
                <w:rFonts w:hint="eastAsia"/>
                <w:iCs/>
                <w:color w:val="auto"/>
                <w:kern w:val="0"/>
                <w:sz w:val="24"/>
              </w:rPr>
              <w:t>）《建设项目环境影响评价分类管理名录》（</w:t>
            </w:r>
            <w:r>
              <w:rPr>
                <w:iCs/>
                <w:color w:val="auto"/>
                <w:kern w:val="0"/>
                <w:sz w:val="24"/>
              </w:rPr>
              <w:t>2017</w:t>
            </w:r>
            <w:r>
              <w:rPr>
                <w:rFonts w:hint="eastAsia"/>
                <w:iCs/>
                <w:color w:val="auto"/>
                <w:kern w:val="0"/>
                <w:sz w:val="24"/>
              </w:rPr>
              <w:t>年</w:t>
            </w:r>
            <w:r>
              <w:rPr>
                <w:iCs/>
                <w:color w:val="auto"/>
                <w:kern w:val="0"/>
                <w:sz w:val="24"/>
              </w:rPr>
              <w:t>9</w:t>
            </w:r>
            <w:r>
              <w:rPr>
                <w:rFonts w:hint="eastAsia"/>
                <w:iCs/>
                <w:color w:val="auto"/>
                <w:kern w:val="0"/>
                <w:sz w:val="24"/>
              </w:rPr>
              <w:t>月</w:t>
            </w:r>
            <w:r>
              <w:rPr>
                <w:iCs/>
                <w:color w:val="auto"/>
                <w:kern w:val="0"/>
                <w:sz w:val="24"/>
              </w:rPr>
              <w:t>1</w:t>
            </w:r>
            <w:r>
              <w:rPr>
                <w:rFonts w:hint="eastAsia"/>
                <w:iCs/>
                <w:color w:val="auto"/>
                <w:kern w:val="0"/>
                <w:sz w:val="24"/>
              </w:rPr>
              <w:t>日起执行，</w:t>
            </w:r>
            <w:r>
              <w:rPr>
                <w:iCs/>
                <w:color w:val="auto"/>
                <w:kern w:val="0"/>
                <w:sz w:val="24"/>
              </w:rPr>
              <w:t xml:space="preserve"> 2018</w:t>
            </w:r>
            <w:r>
              <w:rPr>
                <w:rFonts w:hint="eastAsia"/>
                <w:iCs/>
                <w:color w:val="auto"/>
                <w:kern w:val="0"/>
                <w:sz w:val="24"/>
              </w:rPr>
              <w:t>年修订）；</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9</w:t>
            </w:r>
            <w:r>
              <w:rPr>
                <w:rFonts w:hint="eastAsia"/>
                <w:iCs/>
                <w:color w:val="auto"/>
                <w:kern w:val="0"/>
                <w:sz w:val="24"/>
              </w:rPr>
              <w:t>）《国家危险废物名录》（部令第</w:t>
            </w:r>
            <w:r>
              <w:rPr>
                <w:iCs/>
                <w:color w:val="auto"/>
                <w:kern w:val="0"/>
                <w:sz w:val="24"/>
              </w:rPr>
              <w:t>39</w:t>
            </w:r>
            <w:r>
              <w:rPr>
                <w:rFonts w:hint="eastAsia"/>
                <w:iCs/>
                <w:color w:val="auto"/>
                <w:kern w:val="0"/>
                <w:sz w:val="24"/>
              </w:rPr>
              <w:t>号</w:t>
            </w:r>
            <w:r>
              <w:rPr>
                <w:iCs/>
                <w:color w:val="auto"/>
                <w:kern w:val="0"/>
                <w:sz w:val="24"/>
              </w:rPr>
              <w:t>2016</w:t>
            </w:r>
            <w:r>
              <w:rPr>
                <w:rFonts w:hint="eastAsia"/>
                <w:iCs/>
                <w:color w:val="auto"/>
                <w:kern w:val="0"/>
                <w:sz w:val="24"/>
              </w:rPr>
              <w:t>年</w:t>
            </w:r>
            <w:r>
              <w:rPr>
                <w:iCs/>
                <w:color w:val="auto"/>
                <w:kern w:val="0"/>
                <w:sz w:val="24"/>
              </w:rPr>
              <w:t>8</w:t>
            </w:r>
            <w:r>
              <w:rPr>
                <w:rFonts w:hint="eastAsia"/>
                <w:iCs/>
                <w:color w:val="auto"/>
                <w:kern w:val="0"/>
                <w:sz w:val="24"/>
              </w:rPr>
              <w:t>月</w:t>
            </w:r>
            <w:r>
              <w:rPr>
                <w:iCs/>
                <w:color w:val="auto"/>
                <w:kern w:val="0"/>
                <w:sz w:val="24"/>
              </w:rPr>
              <w:t>1</w:t>
            </w:r>
            <w:r>
              <w:rPr>
                <w:rFonts w:hint="eastAsia"/>
                <w:iCs/>
                <w:color w:val="auto"/>
                <w:kern w:val="0"/>
                <w:sz w:val="24"/>
              </w:rPr>
              <w:t>日起施行）；</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10</w:t>
            </w:r>
            <w:r>
              <w:rPr>
                <w:rFonts w:hint="eastAsia"/>
                <w:iCs/>
                <w:color w:val="auto"/>
                <w:kern w:val="0"/>
                <w:sz w:val="24"/>
              </w:rPr>
              <w:t>）《湖南省电力设施保护和供用电秩序维护条例》（</w:t>
            </w:r>
            <w:r>
              <w:rPr>
                <w:iCs/>
                <w:color w:val="auto"/>
                <w:kern w:val="0"/>
                <w:sz w:val="24"/>
              </w:rPr>
              <w:t xml:space="preserve">2017 </w:t>
            </w:r>
            <w:r>
              <w:rPr>
                <w:rFonts w:hint="eastAsia"/>
                <w:iCs/>
                <w:color w:val="auto"/>
                <w:kern w:val="0"/>
                <w:sz w:val="24"/>
              </w:rPr>
              <w:t>年</w:t>
            </w:r>
            <w:r>
              <w:rPr>
                <w:iCs/>
                <w:color w:val="auto"/>
                <w:kern w:val="0"/>
                <w:sz w:val="24"/>
              </w:rPr>
              <w:t>5</w:t>
            </w:r>
            <w:r>
              <w:rPr>
                <w:rFonts w:hint="eastAsia"/>
                <w:iCs/>
                <w:color w:val="auto"/>
                <w:kern w:val="0"/>
                <w:sz w:val="24"/>
              </w:rPr>
              <w:t>月</w:t>
            </w:r>
            <w:r>
              <w:rPr>
                <w:iCs/>
                <w:color w:val="auto"/>
                <w:kern w:val="0"/>
                <w:sz w:val="24"/>
              </w:rPr>
              <w:t>31</w:t>
            </w:r>
            <w:r>
              <w:rPr>
                <w:rFonts w:hint="eastAsia"/>
                <w:iCs/>
                <w:color w:val="auto"/>
                <w:kern w:val="0"/>
                <w:sz w:val="24"/>
              </w:rPr>
              <w:t>日起施行）；</w:t>
            </w:r>
          </w:p>
          <w:p>
            <w:pPr>
              <w:autoSpaceDE w:val="0"/>
              <w:autoSpaceDN w:val="0"/>
              <w:adjustRightInd w:val="0"/>
              <w:spacing w:line="360" w:lineRule="auto"/>
              <w:jc w:val="left"/>
              <w:rPr>
                <w:iCs/>
                <w:color w:val="auto"/>
                <w:kern w:val="0"/>
                <w:sz w:val="24"/>
              </w:rPr>
            </w:pPr>
            <w:r>
              <w:rPr>
                <w:rFonts w:hint="eastAsia"/>
                <w:iCs/>
                <w:color w:val="auto"/>
                <w:kern w:val="0"/>
                <w:sz w:val="24"/>
                <w:u w:val="single"/>
              </w:rPr>
              <w:t>（</w:t>
            </w:r>
            <w:r>
              <w:rPr>
                <w:iCs/>
                <w:color w:val="auto"/>
                <w:kern w:val="0"/>
                <w:sz w:val="24"/>
                <w:u w:val="single"/>
              </w:rPr>
              <w:t>11</w:t>
            </w:r>
            <w:r>
              <w:rPr>
                <w:rFonts w:hint="eastAsia"/>
                <w:iCs/>
                <w:color w:val="auto"/>
                <w:kern w:val="0"/>
                <w:sz w:val="24"/>
                <w:u w:val="single"/>
              </w:rPr>
              <w:t>）《湖南省人民政府关于实施“三线一单”生态环境分区管控的意见》（湘政发〔</w:t>
            </w:r>
            <w:r>
              <w:rPr>
                <w:iCs/>
                <w:color w:val="auto"/>
                <w:kern w:val="0"/>
                <w:sz w:val="24"/>
                <w:u w:val="single"/>
              </w:rPr>
              <w:t>2020</w:t>
            </w:r>
            <w:r>
              <w:rPr>
                <w:rFonts w:hint="eastAsia"/>
                <w:iCs/>
                <w:color w:val="auto"/>
                <w:kern w:val="0"/>
                <w:sz w:val="24"/>
                <w:u w:val="single"/>
              </w:rPr>
              <w:t>〕</w:t>
            </w:r>
            <w:r>
              <w:rPr>
                <w:iCs/>
                <w:color w:val="auto"/>
                <w:kern w:val="0"/>
                <w:sz w:val="24"/>
                <w:u w:val="single"/>
              </w:rPr>
              <w:t>12</w:t>
            </w:r>
            <w:r>
              <w:rPr>
                <w:rFonts w:hint="eastAsia"/>
                <w:iCs/>
                <w:color w:val="auto"/>
                <w:kern w:val="0"/>
                <w:sz w:val="24"/>
                <w:u w:val="single"/>
              </w:rPr>
              <w:t>号）</w:t>
            </w:r>
            <w:r>
              <w:rPr>
                <w:rFonts w:hint="eastAsia"/>
                <w:iCs/>
                <w:color w:val="auto"/>
                <w:kern w:val="0"/>
                <w:sz w:val="24"/>
              </w:rPr>
              <w:t>；</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12</w:t>
            </w:r>
            <w:r>
              <w:rPr>
                <w:rFonts w:hint="eastAsia"/>
                <w:iCs/>
                <w:color w:val="auto"/>
                <w:kern w:val="0"/>
                <w:sz w:val="24"/>
              </w:rPr>
              <w:t>）《建设项目环境影响评价信息公开机制方案》（环发〔</w:t>
            </w:r>
            <w:r>
              <w:rPr>
                <w:iCs/>
                <w:color w:val="auto"/>
                <w:kern w:val="0"/>
                <w:sz w:val="24"/>
              </w:rPr>
              <w:t>2015</w:t>
            </w:r>
            <w:r>
              <w:rPr>
                <w:rFonts w:hint="eastAsia"/>
                <w:iCs/>
                <w:color w:val="auto"/>
                <w:kern w:val="0"/>
                <w:sz w:val="24"/>
              </w:rPr>
              <w:t>〕</w:t>
            </w:r>
            <w:r>
              <w:rPr>
                <w:iCs/>
                <w:color w:val="auto"/>
                <w:kern w:val="0"/>
                <w:sz w:val="24"/>
              </w:rPr>
              <w:t>162</w:t>
            </w:r>
            <w:r>
              <w:rPr>
                <w:rFonts w:hint="eastAsia"/>
                <w:iCs/>
                <w:color w:val="auto"/>
                <w:kern w:val="0"/>
                <w:sz w:val="24"/>
              </w:rPr>
              <w:t>号）；</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13</w:t>
            </w:r>
            <w:r>
              <w:rPr>
                <w:rFonts w:hint="eastAsia"/>
                <w:iCs/>
                <w:color w:val="auto"/>
                <w:kern w:val="0"/>
                <w:sz w:val="24"/>
              </w:rPr>
              <w:t>）《湖南省饮用水水源保护条例》（</w:t>
            </w:r>
            <w:r>
              <w:rPr>
                <w:iCs/>
                <w:color w:val="auto"/>
                <w:kern w:val="0"/>
                <w:sz w:val="24"/>
              </w:rPr>
              <w:t xml:space="preserve">2018 </w:t>
            </w:r>
            <w:r>
              <w:rPr>
                <w:rFonts w:hint="eastAsia"/>
                <w:iCs/>
                <w:color w:val="auto"/>
                <w:kern w:val="0"/>
                <w:sz w:val="24"/>
              </w:rPr>
              <w:t>年</w:t>
            </w:r>
            <w:r>
              <w:rPr>
                <w:iCs/>
                <w:color w:val="auto"/>
                <w:kern w:val="0"/>
                <w:sz w:val="24"/>
              </w:rPr>
              <w:t>1</w:t>
            </w:r>
            <w:r>
              <w:rPr>
                <w:rFonts w:hint="eastAsia"/>
                <w:iCs/>
                <w:color w:val="auto"/>
                <w:kern w:val="0"/>
                <w:sz w:val="24"/>
              </w:rPr>
              <w:t>月</w:t>
            </w:r>
            <w:r>
              <w:rPr>
                <w:iCs/>
                <w:color w:val="auto"/>
                <w:kern w:val="0"/>
                <w:sz w:val="24"/>
              </w:rPr>
              <w:t>1</w:t>
            </w:r>
            <w:r>
              <w:rPr>
                <w:rFonts w:hint="eastAsia"/>
                <w:iCs/>
                <w:color w:val="auto"/>
                <w:kern w:val="0"/>
                <w:sz w:val="24"/>
              </w:rPr>
              <w:t>日起施行）。</w:t>
            </w:r>
          </w:p>
          <w:p>
            <w:pPr>
              <w:spacing w:line="360" w:lineRule="auto"/>
              <w:rPr>
                <w:b/>
                <w:bCs/>
                <w:iCs/>
                <w:color w:val="auto"/>
                <w:sz w:val="24"/>
              </w:rPr>
            </w:pPr>
            <w:r>
              <w:rPr>
                <w:b/>
                <w:bCs/>
                <w:iCs/>
                <w:color w:val="auto"/>
                <w:sz w:val="24"/>
              </w:rPr>
              <w:t>1.3.2</w:t>
            </w:r>
            <w:r>
              <w:rPr>
                <w:rFonts w:hint="eastAsia"/>
                <w:b/>
                <w:bCs/>
                <w:iCs/>
                <w:color w:val="auto"/>
                <w:sz w:val="24"/>
              </w:rPr>
              <w:t>相关的标准和技术导则</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1</w:t>
            </w:r>
            <w:r>
              <w:rPr>
                <w:rFonts w:hint="eastAsia"/>
                <w:iCs/>
                <w:color w:val="auto"/>
                <w:kern w:val="0"/>
                <w:sz w:val="24"/>
              </w:rPr>
              <w:t>）《环境影响评价技术导则</w:t>
            </w:r>
            <w:r>
              <w:rPr>
                <w:iCs/>
                <w:color w:val="auto"/>
                <w:kern w:val="0"/>
                <w:sz w:val="24"/>
              </w:rPr>
              <w:t>-</w:t>
            </w:r>
            <w:r>
              <w:rPr>
                <w:rFonts w:hint="eastAsia"/>
                <w:iCs/>
                <w:color w:val="auto"/>
                <w:kern w:val="0"/>
                <w:sz w:val="24"/>
              </w:rPr>
              <w:t>总纲》（</w:t>
            </w:r>
            <w:r>
              <w:rPr>
                <w:iCs/>
                <w:color w:val="auto"/>
                <w:kern w:val="0"/>
                <w:sz w:val="24"/>
              </w:rPr>
              <w:t>HJ2.1-2016</w:t>
            </w:r>
            <w:r>
              <w:rPr>
                <w:rFonts w:hint="eastAsia"/>
                <w:iCs/>
                <w:color w:val="auto"/>
                <w:kern w:val="0"/>
                <w:sz w:val="24"/>
              </w:rPr>
              <w:t>）；</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2</w:t>
            </w:r>
            <w:r>
              <w:rPr>
                <w:rFonts w:hint="eastAsia"/>
                <w:iCs/>
                <w:color w:val="auto"/>
                <w:kern w:val="0"/>
                <w:sz w:val="24"/>
              </w:rPr>
              <w:t>）《电磁环境控制限值》（</w:t>
            </w:r>
            <w:r>
              <w:rPr>
                <w:iCs/>
                <w:color w:val="auto"/>
                <w:kern w:val="0"/>
                <w:sz w:val="24"/>
              </w:rPr>
              <w:t>GB8702-2014</w:t>
            </w:r>
            <w:r>
              <w:rPr>
                <w:rFonts w:hint="eastAsia"/>
                <w:iCs/>
                <w:color w:val="auto"/>
                <w:kern w:val="0"/>
                <w:sz w:val="24"/>
              </w:rPr>
              <w:t>）；</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3</w:t>
            </w:r>
            <w:r>
              <w:rPr>
                <w:rFonts w:hint="eastAsia"/>
                <w:iCs/>
                <w:color w:val="auto"/>
                <w:kern w:val="0"/>
                <w:sz w:val="24"/>
              </w:rPr>
              <w:t>）《声环境质量标准》（</w:t>
            </w:r>
            <w:r>
              <w:rPr>
                <w:iCs/>
                <w:color w:val="auto"/>
                <w:kern w:val="0"/>
                <w:sz w:val="24"/>
              </w:rPr>
              <w:t>GB3096-2008</w:t>
            </w:r>
            <w:r>
              <w:rPr>
                <w:rFonts w:hint="eastAsia"/>
                <w:iCs/>
                <w:color w:val="auto"/>
                <w:kern w:val="0"/>
                <w:sz w:val="24"/>
              </w:rPr>
              <w:t>）；</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4</w:t>
            </w:r>
            <w:r>
              <w:rPr>
                <w:rFonts w:hint="eastAsia"/>
                <w:iCs/>
                <w:color w:val="auto"/>
                <w:kern w:val="0"/>
                <w:sz w:val="24"/>
              </w:rPr>
              <w:t>）《工业企业厂界环境噪声排放标准》（</w:t>
            </w:r>
            <w:r>
              <w:rPr>
                <w:iCs/>
                <w:color w:val="auto"/>
                <w:kern w:val="0"/>
                <w:sz w:val="24"/>
              </w:rPr>
              <w:t>GB12348-2008</w:t>
            </w:r>
            <w:r>
              <w:rPr>
                <w:rFonts w:hint="eastAsia"/>
                <w:iCs/>
                <w:color w:val="auto"/>
                <w:kern w:val="0"/>
                <w:sz w:val="24"/>
              </w:rPr>
              <w:t>）；</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5</w:t>
            </w:r>
            <w:r>
              <w:rPr>
                <w:rFonts w:hint="eastAsia"/>
                <w:iCs/>
                <w:color w:val="auto"/>
                <w:kern w:val="0"/>
                <w:sz w:val="24"/>
              </w:rPr>
              <w:t>）《环境空气质量标准》（</w:t>
            </w:r>
            <w:r>
              <w:rPr>
                <w:iCs/>
                <w:color w:val="auto"/>
                <w:kern w:val="0"/>
                <w:sz w:val="24"/>
              </w:rPr>
              <w:t>GB3095-2012</w:t>
            </w:r>
            <w:r>
              <w:rPr>
                <w:rFonts w:hint="eastAsia"/>
                <w:iCs/>
                <w:color w:val="auto"/>
                <w:kern w:val="0"/>
                <w:sz w:val="24"/>
              </w:rPr>
              <w:t>）；</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6</w:t>
            </w:r>
            <w:r>
              <w:rPr>
                <w:rFonts w:hint="eastAsia"/>
                <w:iCs/>
                <w:color w:val="auto"/>
                <w:kern w:val="0"/>
                <w:sz w:val="24"/>
              </w:rPr>
              <w:t>）《污水综合排放标准》（</w:t>
            </w:r>
            <w:r>
              <w:rPr>
                <w:iCs/>
                <w:color w:val="auto"/>
                <w:kern w:val="0"/>
                <w:sz w:val="24"/>
              </w:rPr>
              <w:t>GB8978-1996</w:t>
            </w:r>
            <w:r>
              <w:rPr>
                <w:rFonts w:hint="eastAsia"/>
                <w:iCs/>
                <w:color w:val="auto"/>
                <w:kern w:val="0"/>
                <w:sz w:val="24"/>
              </w:rPr>
              <w:t>）；</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7</w:t>
            </w:r>
            <w:r>
              <w:rPr>
                <w:rFonts w:hint="eastAsia"/>
                <w:iCs/>
                <w:color w:val="auto"/>
                <w:kern w:val="0"/>
                <w:sz w:val="24"/>
              </w:rPr>
              <w:t>）《地表水环境质量标准》（</w:t>
            </w:r>
            <w:r>
              <w:rPr>
                <w:iCs/>
                <w:color w:val="auto"/>
                <w:kern w:val="0"/>
                <w:sz w:val="24"/>
              </w:rPr>
              <w:t>GB3838-2002</w:t>
            </w:r>
            <w:r>
              <w:rPr>
                <w:rFonts w:hint="eastAsia"/>
                <w:iCs/>
                <w:color w:val="auto"/>
                <w:kern w:val="0"/>
                <w:sz w:val="24"/>
              </w:rPr>
              <w:t>）；</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8</w:t>
            </w:r>
            <w:r>
              <w:rPr>
                <w:rFonts w:hint="eastAsia"/>
                <w:iCs/>
                <w:color w:val="auto"/>
                <w:kern w:val="0"/>
                <w:sz w:val="24"/>
              </w:rPr>
              <w:t>）《环境影响评价技术导则</w:t>
            </w:r>
            <w:r>
              <w:rPr>
                <w:iCs/>
                <w:color w:val="auto"/>
                <w:kern w:val="0"/>
                <w:sz w:val="24"/>
              </w:rPr>
              <w:t>-</w:t>
            </w:r>
            <w:r>
              <w:rPr>
                <w:rFonts w:hint="eastAsia"/>
                <w:iCs/>
                <w:color w:val="auto"/>
                <w:kern w:val="0"/>
                <w:sz w:val="24"/>
              </w:rPr>
              <w:t>声环境》（</w:t>
            </w:r>
            <w:r>
              <w:rPr>
                <w:iCs/>
                <w:color w:val="auto"/>
                <w:kern w:val="0"/>
                <w:sz w:val="24"/>
              </w:rPr>
              <w:t>HJ2.4-2009</w:t>
            </w:r>
            <w:r>
              <w:rPr>
                <w:rFonts w:hint="eastAsia"/>
                <w:iCs/>
                <w:color w:val="auto"/>
                <w:kern w:val="0"/>
                <w:sz w:val="24"/>
              </w:rPr>
              <w:t>）</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9</w:t>
            </w:r>
            <w:r>
              <w:rPr>
                <w:rFonts w:hint="eastAsia"/>
                <w:iCs/>
                <w:color w:val="auto"/>
                <w:kern w:val="0"/>
                <w:sz w:val="24"/>
              </w:rPr>
              <w:t>）《建筑施工场界环境噪声排放标准》（</w:t>
            </w:r>
            <w:r>
              <w:rPr>
                <w:iCs/>
                <w:color w:val="auto"/>
                <w:kern w:val="0"/>
                <w:sz w:val="24"/>
              </w:rPr>
              <w:t>GB12523-2011</w:t>
            </w:r>
            <w:r>
              <w:rPr>
                <w:rFonts w:hint="eastAsia"/>
                <w:iCs/>
                <w:color w:val="auto"/>
                <w:kern w:val="0"/>
                <w:sz w:val="24"/>
              </w:rPr>
              <w:t>）；</w:t>
            </w:r>
          </w:p>
          <w:p>
            <w:pPr>
              <w:spacing w:line="360" w:lineRule="auto"/>
              <w:outlineLvl w:val="1"/>
              <w:rPr>
                <w:iCs/>
                <w:color w:val="auto"/>
                <w:kern w:val="0"/>
                <w:sz w:val="24"/>
              </w:rPr>
            </w:pPr>
            <w:r>
              <w:rPr>
                <w:rFonts w:hint="eastAsia"/>
                <w:iCs/>
                <w:color w:val="auto"/>
                <w:kern w:val="0"/>
                <w:sz w:val="24"/>
              </w:rPr>
              <w:t>（</w:t>
            </w:r>
            <w:r>
              <w:rPr>
                <w:iCs/>
                <w:color w:val="auto"/>
                <w:kern w:val="0"/>
                <w:sz w:val="24"/>
              </w:rPr>
              <w:t>10</w:t>
            </w:r>
            <w:r>
              <w:rPr>
                <w:rFonts w:hint="eastAsia"/>
                <w:iCs/>
                <w:color w:val="auto"/>
                <w:kern w:val="0"/>
                <w:sz w:val="24"/>
              </w:rPr>
              <w:t>）《环境影响评价技术导则</w:t>
            </w:r>
            <w:r>
              <w:rPr>
                <w:iCs/>
                <w:color w:val="auto"/>
                <w:kern w:val="0"/>
                <w:sz w:val="24"/>
              </w:rPr>
              <w:t>-</w:t>
            </w:r>
            <w:r>
              <w:rPr>
                <w:rFonts w:hint="eastAsia"/>
                <w:iCs/>
                <w:color w:val="auto"/>
                <w:kern w:val="0"/>
                <w:sz w:val="24"/>
              </w:rPr>
              <w:t>生态影响》（</w:t>
            </w:r>
            <w:r>
              <w:rPr>
                <w:iCs/>
                <w:color w:val="auto"/>
                <w:kern w:val="0"/>
                <w:sz w:val="24"/>
              </w:rPr>
              <w:t>HJ19-2011</w:t>
            </w:r>
            <w:r>
              <w:rPr>
                <w:rFonts w:hint="eastAsia"/>
                <w:iCs/>
                <w:color w:val="auto"/>
                <w:kern w:val="0"/>
                <w:sz w:val="24"/>
              </w:rPr>
              <w:t>）；</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11</w:t>
            </w:r>
            <w:r>
              <w:rPr>
                <w:rFonts w:hint="eastAsia"/>
                <w:iCs/>
                <w:color w:val="auto"/>
                <w:kern w:val="0"/>
                <w:sz w:val="24"/>
              </w:rPr>
              <w:t>）《环境影响评价技术导则</w:t>
            </w:r>
            <w:r>
              <w:rPr>
                <w:iCs/>
                <w:color w:val="auto"/>
                <w:kern w:val="0"/>
                <w:sz w:val="24"/>
              </w:rPr>
              <w:t>-</w:t>
            </w:r>
            <w:r>
              <w:rPr>
                <w:rFonts w:hint="eastAsia"/>
                <w:iCs/>
                <w:color w:val="auto"/>
                <w:kern w:val="0"/>
                <w:sz w:val="24"/>
              </w:rPr>
              <w:t>输变电工程》（</w:t>
            </w:r>
            <w:r>
              <w:rPr>
                <w:rFonts w:hint="eastAsia"/>
                <w:iCs/>
                <w:color w:val="auto"/>
                <w:kern w:val="0"/>
                <w:sz w:val="24"/>
                <w:lang w:eastAsia="zh-CN"/>
              </w:rPr>
              <w:t>HJ24-2020</w:t>
            </w:r>
            <w:r>
              <w:rPr>
                <w:rFonts w:hint="eastAsia"/>
                <w:iCs/>
                <w:color w:val="auto"/>
                <w:kern w:val="0"/>
                <w:sz w:val="24"/>
              </w:rPr>
              <w:t>）；</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12</w:t>
            </w:r>
            <w:r>
              <w:rPr>
                <w:rFonts w:hint="eastAsia"/>
                <w:iCs/>
                <w:color w:val="auto"/>
                <w:kern w:val="0"/>
                <w:sz w:val="24"/>
              </w:rPr>
              <w:t>）《环境影响评价技术导则</w:t>
            </w:r>
            <w:r>
              <w:rPr>
                <w:iCs/>
                <w:color w:val="auto"/>
                <w:kern w:val="0"/>
                <w:sz w:val="24"/>
              </w:rPr>
              <w:t xml:space="preserve"> </w:t>
            </w:r>
            <w:r>
              <w:rPr>
                <w:rFonts w:hint="eastAsia"/>
                <w:iCs/>
                <w:color w:val="auto"/>
                <w:kern w:val="0"/>
                <w:sz w:val="24"/>
              </w:rPr>
              <w:t>地表水环境》（</w:t>
            </w:r>
            <w:r>
              <w:rPr>
                <w:iCs/>
                <w:color w:val="auto"/>
                <w:kern w:val="0"/>
                <w:sz w:val="24"/>
              </w:rPr>
              <w:t>HJ 2.3-2018</w:t>
            </w:r>
            <w:r>
              <w:rPr>
                <w:rFonts w:hint="eastAsia"/>
                <w:iCs/>
                <w:color w:val="auto"/>
                <w:kern w:val="0"/>
                <w:sz w:val="24"/>
              </w:rPr>
              <w:t>）；</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13</w:t>
            </w:r>
            <w:r>
              <w:rPr>
                <w:rFonts w:hint="eastAsia"/>
                <w:iCs/>
                <w:color w:val="auto"/>
                <w:kern w:val="0"/>
                <w:sz w:val="24"/>
              </w:rPr>
              <w:t>）《交流输变电工程电磁环境监测方法（试行）》（</w:t>
            </w:r>
            <w:r>
              <w:rPr>
                <w:iCs/>
                <w:color w:val="auto"/>
                <w:kern w:val="0"/>
                <w:sz w:val="24"/>
              </w:rPr>
              <w:t>HJ681-2013</w:t>
            </w:r>
            <w:r>
              <w:rPr>
                <w:rFonts w:hint="eastAsia"/>
                <w:iCs/>
                <w:color w:val="auto"/>
                <w:kern w:val="0"/>
                <w:sz w:val="24"/>
              </w:rPr>
              <w:t>）；</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14</w:t>
            </w:r>
            <w:r>
              <w:rPr>
                <w:rFonts w:hint="eastAsia"/>
                <w:iCs/>
                <w:color w:val="auto"/>
                <w:kern w:val="0"/>
                <w:sz w:val="24"/>
              </w:rPr>
              <w:t>）《声环境功能区划分技术规范》（</w:t>
            </w:r>
            <w:r>
              <w:rPr>
                <w:iCs/>
                <w:color w:val="auto"/>
                <w:kern w:val="0"/>
                <w:sz w:val="24"/>
              </w:rPr>
              <w:t>GB/T15190-2014</w:t>
            </w:r>
            <w:r>
              <w:rPr>
                <w:rFonts w:hint="eastAsia"/>
                <w:iCs/>
                <w:color w:val="auto"/>
                <w:kern w:val="0"/>
                <w:sz w:val="24"/>
              </w:rPr>
              <w:t>）；</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15</w:t>
            </w:r>
            <w:r>
              <w:rPr>
                <w:rFonts w:hint="eastAsia"/>
                <w:iCs/>
                <w:color w:val="auto"/>
                <w:kern w:val="0"/>
                <w:sz w:val="24"/>
              </w:rPr>
              <w:t>）《危险废物贮存污染控制标准》（</w:t>
            </w:r>
            <w:r>
              <w:rPr>
                <w:iCs/>
                <w:color w:val="auto"/>
                <w:kern w:val="0"/>
                <w:sz w:val="24"/>
              </w:rPr>
              <w:t>GB18597-2001</w:t>
            </w:r>
            <w:r>
              <w:rPr>
                <w:rFonts w:hint="eastAsia"/>
                <w:iCs/>
                <w:color w:val="auto"/>
                <w:kern w:val="0"/>
                <w:sz w:val="24"/>
              </w:rPr>
              <w:t>）及</w:t>
            </w:r>
            <w:r>
              <w:rPr>
                <w:iCs/>
                <w:color w:val="auto"/>
                <w:kern w:val="0"/>
                <w:sz w:val="24"/>
              </w:rPr>
              <w:t xml:space="preserve">2013 </w:t>
            </w:r>
            <w:r>
              <w:rPr>
                <w:rFonts w:hint="eastAsia"/>
                <w:iCs/>
                <w:color w:val="auto"/>
                <w:kern w:val="0"/>
                <w:sz w:val="24"/>
              </w:rPr>
              <w:t>年修改单；</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16</w:t>
            </w:r>
            <w:r>
              <w:rPr>
                <w:rFonts w:hint="eastAsia"/>
                <w:iCs/>
                <w:color w:val="auto"/>
                <w:kern w:val="0"/>
                <w:sz w:val="24"/>
              </w:rPr>
              <w:t>）《废铅酸蓄电池处理污染控制技术规范》（</w:t>
            </w:r>
            <w:r>
              <w:rPr>
                <w:iCs/>
                <w:color w:val="auto"/>
                <w:kern w:val="0"/>
                <w:sz w:val="24"/>
              </w:rPr>
              <w:t>HJ 519</w:t>
            </w:r>
            <w:r>
              <w:rPr>
                <w:rFonts w:hint="eastAsia"/>
                <w:iCs/>
                <w:color w:val="auto"/>
                <w:kern w:val="0"/>
                <w:sz w:val="24"/>
              </w:rPr>
              <w:t>－</w:t>
            </w:r>
            <w:r>
              <w:rPr>
                <w:iCs/>
                <w:color w:val="auto"/>
                <w:kern w:val="0"/>
                <w:sz w:val="24"/>
              </w:rPr>
              <w:t>2009</w:t>
            </w:r>
            <w:r>
              <w:rPr>
                <w:rFonts w:hint="eastAsia"/>
                <w:iCs/>
                <w:color w:val="auto"/>
                <w:kern w:val="0"/>
                <w:sz w:val="24"/>
              </w:rPr>
              <w:t>）；</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17</w:t>
            </w:r>
            <w:r>
              <w:rPr>
                <w:rFonts w:hint="eastAsia"/>
                <w:iCs/>
                <w:color w:val="auto"/>
                <w:kern w:val="0"/>
                <w:sz w:val="24"/>
              </w:rPr>
              <w:t>）《火力发电厂与变电站设计防火标准》（</w:t>
            </w:r>
            <w:r>
              <w:rPr>
                <w:iCs/>
                <w:color w:val="auto"/>
                <w:kern w:val="0"/>
                <w:sz w:val="24"/>
              </w:rPr>
              <w:t>GB50229-2019</w:t>
            </w:r>
            <w:r>
              <w:rPr>
                <w:rFonts w:hint="eastAsia"/>
                <w:iCs/>
                <w:color w:val="auto"/>
                <w:kern w:val="0"/>
                <w:sz w:val="24"/>
              </w:rPr>
              <w:t>）；</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18</w:t>
            </w:r>
            <w:r>
              <w:rPr>
                <w:rFonts w:hint="eastAsia"/>
                <w:iCs/>
                <w:color w:val="auto"/>
                <w:kern w:val="0"/>
                <w:sz w:val="24"/>
              </w:rPr>
              <w:t>）《输变电建设项目环境保护技术要求》（</w:t>
            </w:r>
            <w:r>
              <w:rPr>
                <w:iCs/>
                <w:color w:val="auto"/>
                <w:kern w:val="0"/>
                <w:sz w:val="24"/>
              </w:rPr>
              <w:t>HJ1113-2020</w:t>
            </w:r>
            <w:r>
              <w:rPr>
                <w:rFonts w:hint="eastAsia"/>
                <w:iCs/>
                <w:color w:val="auto"/>
                <w:kern w:val="0"/>
                <w:sz w:val="24"/>
              </w:rPr>
              <w:t>）。</w:t>
            </w:r>
          </w:p>
          <w:p>
            <w:pPr>
              <w:spacing w:line="360" w:lineRule="auto"/>
              <w:rPr>
                <w:b/>
                <w:bCs/>
                <w:iCs/>
                <w:color w:val="auto"/>
                <w:sz w:val="24"/>
              </w:rPr>
            </w:pPr>
            <w:r>
              <w:rPr>
                <w:b/>
                <w:bCs/>
                <w:iCs/>
                <w:color w:val="auto"/>
                <w:sz w:val="24"/>
              </w:rPr>
              <w:t>1.3.3</w:t>
            </w:r>
            <w:r>
              <w:rPr>
                <w:rFonts w:hint="eastAsia"/>
                <w:b/>
                <w:bCs/>
                <w:iCs/>
                <w:color w:val="auto"/>
                <w:sz w:val="24"/>
              </w:rPr>
              <w:t>其他与项目相关文件</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1</w:t>
            </w:r>
            <w:r>
              <w:rPr>
                <w:rFonts w:hint="eastAsia"/>
                <w:iCs/>
                <w:color w:val="auto"/>
                <w:kern w:val="0"/>
                <w:sz w:val="24"/>
              </w:rPr>
              <w:t>）委托书；</w:t>
            </w:r>
          </w:p>
          <w:p>
            <w:pPr>
              <w:autoSpaceDE w:val="0"/>
              <w:autoSpaceDN w:val="0"/>
              <w:adjustRightInd w:val="0"/>
              <w:spacing w:line="360" w:lineRule="auto"/>
              <w:jc w:val="left"/>
              <w:rPr>
                <w:iCs/>
                <w:color w:val="auto"/>
                <w:kern w:val="0"/>
                <w:sz w:val="24"/>
              </w:rPr>
            </w:pPr>
            <w:r>
              <w:rPr>
                <w:rFonts w:hint="eastAsia"/>
                <w:iCs/>
                <w:color w:val="auto"/>
                <w:kern w:val="0"/>
                <w:sz w:val="24"/>
              </w:rPr>
              <w:t>（</w:t>
            </w:r>
            <w:r>
              <w:rPr>
                <w:iCs/>
                <w:color w:val="auto"/>
                <w:kern w:val="0"/>
                <w:sz w:val="24"/>
              </w:rPr>
              <w:t>2</w:t>
            </w:r>
            <w:r>
              <w:rPr>
                <w:rFonts w:hint="eastAsia"/>
                <w:iCs/>
                <w:color w:val="auto"/>
                <w:kern w:val="0"/>
                <w:sz w:val="24"/>
              </w:rPr>
              <w:t>）湖南经研电力设计有限公司《城步儒林</w:t>
            </w:r>
            <w:r>
              <w:rPr>
                <w:iCs/>
                <w:color w:val="auto"/>
                <w:kern w:val="0"/>
                <w:sz w:val="24"/>
              </w:rPr>
              <w:t>100MW/200MWh</w:t>
            </w:r>
            <w:r>
              <w:rPr>
                <w:rFonts w:hint="eastAsia"/>
                <w:iCs/>
                <w:color w:val="auto"/>
                <w:kern w:val="0"/>
                <w:sz w:val="24"/>
              </w:rPr>
              <w:t>电池储能站新建工程可行性研究报告》（</w:t>
            </w:r>
            <w:r>
              <w:rPr>
                <w:iCs/>
                <w:color w:val="auto"/>
                <w:kern w:val="0"/>
                <w:sz w:val="24"/>
              </w:rPr>
              <w:t>2020.11</w:t>
            </w:r>
            <w:r>
              <w:rPr>
                <w:rFonts w:hint="eastAsia"/>
                <w:iCs/>
                <w:color w:val="auto"/>
                <w:kern w:val="0"/>
                <w:sz w:val="24"/>
              </w:rPr>
              <w:t>）。</w:t>
            </w:r>
          </w:p>
          <w:p>
            <w:pPr>
              <w:spacing w:line="360" w:lineRule="auto"/>
              <w:outlineLvl w:val="1"/>
              <w:rPr>
                <w:b/>
                <w:color w:val="auto"/>
                <w:sz w:val="28"/>
                <w:szCs w:val="28"/>
              </w:rPr>
            </w:pPr>
            <w:r>
              <w:rPr>
                <w:b/>
                <w:color w:val="auto"/>
                <w:sz w:val="28"/>
                <w:szCs w:val="28"/>
              </w:rPr>
              <w:t xml:space="preserve">1.4 </w:t>
            </w:r>
            <w:r>
              <w:rPr>
                <w:rFonts w:hint="eastAsia"/>
                <w:b/>
                <w:color w:val="auto"/>
                <w:sz w:val="28"/>
                <w:szCs w:val="28"/>
              </w:rPr>
              <w:t>环境影响评价因子的识别与确定</w:t>
            </w:r>
          </w:p>
          <w:p>
            <w:pPr>
              <w:spacing w:line="360" w:lineRule="auto"/>
              <w:ind w:firstLine="480" w:firstLineChars="200"/>
              <w:jc w:val="left"/>
              <w:rPr>
                <w:color w:val="auto"/>
                <w:sz w:val="24"/>
              </w:rPr>
            </w:pPr>
            <w:bookmarkStart w:id="8" w:name="_Toc236106673"/>
            <w:bookmarkStart w:id="9" w:name="_Toc255307053"/>
            <w:r>
              <w:rPr>
                <w:rFonts w:hint="eastAsia"/>
                <w:color w:val="auto"/>
                <w:sz w:val="24"/>
              </w:rPr>
              <w:t>输变电工程建设项目的主要环境影响评价因</w:t>
            </w:r>
            <w:r>
              <w:rPr>
                <w:rFonts w:hint="eastAsia"/>
                <w:color w:val="auto"/>
                <w:sz w:val="24"/>
                <w:szCs w:val="24"/>
              </w:rPr>
              <w:t>子见</w:t>
            </w:r>
            <w:r>
              <w:rPr>
                <w:color w:val="auto"/>
              </w:rPr>
              <w:fldChar w:fldCharType="begin"/>
            </w:r>
            <w:r>
              <w:rPr>
                <w:color w:val="auto"/>
              </w:rPr>
              <w:instrText xml:space="preserve"> REF _Ref35434784 \h  \* MERGEFORMAT </w:instrText>
            </w:r>
            <w:r>
              <w:rPr>
                <w:color w:val="auto"/>
              </w:rPr>
              <w:fldChar w:fldCharType="separate"/>
            </w:r>
            <w:r>
              <w:rPr>
                <w:rFonts w:hint="eastAsia" w:eastAsiaTheme="minorEastAsia"/>
                <w:color w:val="auto"/>
                <w:sz w:val="24"/>
                <w:szCs w:val="24"/>
              </w:rPr>
              <w:t>表</w:t>
            </w:r>
            <w:r>
              <w:rPr>
                <w:rFonts w:hint="eastAsia" w:eastAsiaTheme="minorEastAsia"/>
                <w:color w:val="auto"/>
                <w:sz w:val="24"/>
                <w:szCs w:val="24"/>
              </w:rPr>
              <w:fldChar w:fldCharType="end"/>
            </w:r>
            <w:r>
              <w:rPr>
                <w:rFonts w:hint="eastAsia"/>
                <w:color w:val="auto"/>
                <w:sz w:val="24"/>
                <w:szCs w:val="24"/>
              </w:rPr>
              <w:t>。</w:t>
            </w:r>
          </w:p>
          <w:bookmarkEnd w:id="8"/>
          <w:bookmarkEnd w:id="9"/>
          <w:p>
            <w:pPr>
              <w:autoSpaceDE w:val="0"/>
              <w:autoSpaceDN w:val="0"/>
              <w:adjustRightInd w:val="0"/>
              <w:ind w:firstLine="422" w:firstLineChars="200"/>
              <w:jc w:val="center"/>
              <w:rPr>
                <w:b/>
                <w:bCs/>
                <w:iCs/>
                <w:color w:val="auto"/>
                <w:szCs w:val="21"/>
              </w:rPr>
            </w:pPr>
            <w:bookmarkStart w:id="10" w:name="_Ref35434784"/>
            <w:r>
              <w:rPr>
                <w:rFonts w:hint="eastAsia"/>
                <w:b/>
                <w:bCs/>
                <w:iCs/>
                <w:color w:val="auto"/>
                <w:szCs w:val="21"/>
              </w:rPr>
              <w:t>表</w:t>
            </w:r>
            <w:bookmarkEnd w:id="10"/>
            <w:r>
              <w:rPr>
                <w:b/>
                <w:bCs/>
                <w:iCs/>
                <w:color w:val="auto"/>
                <w:szCs w:val="21"/>
              </w:rPr>
              <w:t xml:space="preserve">1-7 </w:t>
            </w:r>
            <w:r>
              <w:rPr>
                <w:rFonts w:hint="eastAsia"/>
                <w:b/>
                <w:bCs/>
                <w:iCs/>
                <w:color w:val="auto"/>
                <w:szCs w:val="21"/>
              </w:rPr>
              <w:t>本项目的主要环境影响评价因子</w:t>
            </w:r>
          </w:p>
          <w:tbl>
            <w:tblPr>
              <w:tblStyle w:val="86"/>
              <w:tblW w:w="90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93"/>
              <w:gridCol w:w="938"/>
              <w:gridCol w:w="2803"/>
              <w:gridCol w:w="782"/>
              <w:gridCol w:w="2598"/>
              <w:gridCol w:w="10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blHeader/>
              </w:trPr>
              <w:tc>
                <w:tcPr>
                  <w:tcW w:w="893" w:type="dxa"/>
                  <w:vAlign w:val="center"/>
                </w:tcPr>
                <w:p>
                  <w:pPr>
                    <w:autoSpaceDE w:val="0"/>
                    <w:autoSpaceDN w:val="0"/>
                    <w:adjustRightInd w:val="0"/>
                    <w:jc w:val="center"/>
                    <w:rPr>
                      <w:b/>
                      <w:bCs/>
                      <w:iCs/>
                      <w:color w:val="auto"/>
                      <w:kern w:val="0"/>
                      <w:szCs w:val="21"/>
                    </w:rPr>
                  </w:pPr>
                  <w:r>
                    <w:rPr>
                      <w:rFonts w:hint="eastAsia"/>
                      <w:b/>
                      <w:bCs/>
                      <w:iCs/>
                      <w:color w:val="auto"/>
                      <w:kern w:val="0"/>
                      <w:szCs w:val="21"/>
                    </w:rPr>
                    <w:t>评价</w:t>
                  </w:r>
                </w:p>
                <w:p>
                  <w:pPr>
                    <w:autoSpaceDE w:val="0"/>
                    <w:autoSpaceDN w:val="0"/>
                    <w:adjustRightInd w:val="0"/>
                    <w:jc w:val="center"/>
                    <w:rPr>
                      <w:b/>
                      <w:bCs/>
                      <w:iCs/>
                      <w:color w:val="auto"/>
                      <w:kern w:val="0"/>
                      <w:szCs w:val="21"/>
                    </w:rPr>
                  </w:pPr>
                  <w:r>
                    <w:rPr>
                      <w:rFonts w:hint="eastAsia"/>
                      <w:b/>
                      <w:bCs/>
                      <w:iCs/>
                      <w:color w:val="auto"/>
                      <w:kern w:val="0"/>
                      <w:szCs w:val="21"/>
                    </w:rPr>
                    <w:t>阶段</w:t>
                  </w:r>
                </w:p>
              </w:tc>
              <w:tc>
                <w:tcPr>
                  <w:tcW w:w="938" w:type="dxa"/>
                  <w:vAlign w:val="center"/>
                </w:tcPr>
                <w:p>
                  <w:pPr>
                    <w:autoSpaceDE w:val="0"/>
                    <w:autoSpaceDN w:val="0"/>
                    <w:adjustRightInd w:val="0"/>
                    <w:jc w:val="center"/>
                    <w:rPr>
                      <w:b/>
                      <w:bCs/>
                      <w:iCs/>
                      <w:color w:val="auto"/>
                      <w:kern w:val="0"/>
                      <w:szCs w:val="21"/>
                    </w:rPr>
                  </w:pPr>
                  <w:r>
                    <w:rPr>
                      <w:rFonts w:hint="eastAsia"/>
                      <w:b/>
                      <w:bCs/>
                      <w:iCs/>
                      <w:color w:val="auto"/>
                      <w:kern w:val="0"/>
                      <w:szCs w:val="21"/>
                    </w:rPr>
                    <w:t>评鉴</w:t>
                  </w:r>
                </w:p>
                <w:p>
                  <w:pPr>
                    <w:autoSpaceDE w:val="0"/>
                    <w:autoSpaceDN w:val="0"/>
                    <w:adjustRightInd w:val="0"/>
                    <w:jc w:val="center"/>
                    <w:rPr>
                      <w:b/>
                      <w:bCs/>
                      <w:iCs/>
                      <w:color w:val="auto"/>
                      <w:kern w:val="0"/>
                      <w:szCs w:val="21"/>
                    </w:rPr>
                  </w:pPr>
                  <w:r>
                    <w:rPr>
                      <w:rFonts w:hint="eastAsia"/>
                      <w:b/>
                      <w:bCs/>
                      <w:iCs/>
                      <w:color w:val="auto"/>
                      <w:kern w:val="0"/>
                      <w:szCs w:val="21"/>
                    </w:rPr>
                    <w:t>项目</w:t>
                  </w:r>
                </w:p>
              </w:tc>
              <w:tc>
                <w:tcPr>
                  <w:tcW w:w="2803" w:type="dxa"/>
                  <w:vAlign w:val="center"/>
                </w:tcPr>
                <w:p>
                  <w:pPr>
                    <w:autoSpaceDE w:val="0"/>
                    <w:autoSpaceDN w:val="0"/>
                    <w:adjustRightInd w:val="0"/>
                    <w:jc w:val="center"/>
                    <w:rPr>
                      <w:b/>
                      <w:bCs/>
                      <w:iCs/>
                      <w:color w:val="auto"/>
                      <w:kern w:val="0"/>
                      <w:szCs w:val="21"/>
                    </w:rPr>
                  </w:pPr>
                  <w:r>
                    <w:rPr>
                      <w:rFonts w:hint="eastAsia"/>
                      <w:b/>
                      <w:bCs/>
                      <w:iCs/>
                      <w:color w:val="auto"/>
                      <w:kern w:val="0"/>
                      <w:szCs w:val="21"/>
                    </w:rPr>
                    <w:t>现状评价因子</w:t>
                  </w:r>
                </w:p>
              </w:tc>
              <w:tc>
                <w:tcPr>
                  <w:tcW w:w="782" w:type="dxa"/>
                  <w:vAlign w:val="center"/>
                </w:tcPr>
                <w:p>
                  <w:pPr>
                    <w:autoSpaceDE w:val="0"/>
                    <w:autoSpaceDN w:val="0"/>
                    <w:adjustRightInd w:val="0"/>
                    <w:jc w:val="center"/>
                    <w:rPr>
                      <w:b/>
                      <w:bCs/>
                      <w:iCs/>
                      <w:color w:val="auto"/>
                      <w:kern w:val="0"/>
                      <w:szCs w:val="21"/>
                    </w:rPr>
                  </w:pPr>
                  <w:r>
                    <w:rPr>
                      <w:rFonts w:hint="eastAsia"/>
                      <w:b/>
                      <w:bCs/>
                      <w:iCs/>
                      <w:color w:val="auto"/>
                      <w:kern w:val="0"/>
                      <w:szCs w:val="21"/>
                    </w:rPr>
                    <w:t>单位</w:t>
                  </w:r>
                </w:p>
              </w:tc>
              <w:tc>
                <w:tcPr>
                  <w:tcW w:w="2598" w:type="dxa"/>
                  <w:vAlign w:val="center"/>
                </w:tcPr>
                <w:p>
                  <w:pPr>
                    <w:autoSpaceDE w:val="0"/>
                    <w:autoSpaceDN w:val="0"/>
                    <w:adjustRightInd w:val="0"/>
                    <w:jc w:val="center"/>
                    <w:rPr>
                      <w:b/>
                      <w:bCs/>
                      <w:iCs/>
                      <w:color w:val="auto"/>
                      <w:kern w:val="0"/>
                      <w:szCs w:val="21"/>
                    </w:rPr>
                  </w:pPr>
                  <w:r>
                    <w:rPr>
                      <w:rFonts w:hint="eastAsia"/>
                      <w:b/>
                      <w:bCs/>
                      <w:iCs/>
                      <w:color w:val="auto"/>
                      <w:kern w:val="0"/>
                      <w:szCs w:val="21"/>
                    </w:rPr>
                    <w:t>预测评价因子</w:t>
                  </w:r>
                </w:p>
              </w:tc>
              <w:tc>
                <w:tcPr>
                  <w:tcW w:w="1066" w:type="dxa"/>
                  <w:vAlign w:val="center"/>
                </w:tcPr>
                <w:p>
                  <w:pPr>
                    <w:autoSpaceDE w:val="0"/>
                    <w:autoSpaceDN w:val="0"/>
                    <w:adjustRightInd w:val="0"/>
                    <w:jc w:val="center"/>
                    <w:rPr>
                      <w:b/>
                      <w:bCs/>
                      <w:iCs/>
                      <w:color w:val="auto"/>
                      <w:kern w:val="0"/>
                      <w:szCs w:val="21"/>
                    </w:rPr>
                  </w:pPr>
                  <w:r>
                    <w:rPr>
                      <w:rFonts w:hint="eastAsia"/>
                      <w:b/>
                      <w:bCs/>
                      <w:iCs/>
                      <w:color w:val="auto"/>
                      <w:kern w:val="0"/>
                      <w:szCs w:val="21"/>
                    </w:rPr>
                    <w:t>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blHeader/>
              </w:trPr>
              <w:tc>
                <w:tcPr>
                  <w:tcW w:w="893" w:type="dxa"/>
                  <w:vMerge w:val="restart"/>
                  <w:vAlign w:val="center"/>
                </w:tcPr>
                <w:p>
                  <w:pPr>
                    <w:autoSpaceDE w:val="0"/>
                    <w:autoSpaceDN w:val="0"/>
                    <w:adjustRightInd w:val="0"/>
                    <w:jc w:val="center"/>
                    <w:rPr>
                      <w:rFonts w:hint="eastAsia" w:eastAsia="宋体"/>
                      <w:b w:val="0"/>
                      <w:bCs w:val="0"/>
                      <w:iCs/>
                      <w:color w:val="auto"/>
                      <w:kern w:val="0"/>
                      <w:szCs w:val="21"/>
                      <w:lang w:eastAsia="zh-CN"/>
                    </w:rPr>
                  </w:pPr>
                  <w:r>
                    <w:rPr>
                      <w:rFonts w:hint="eastAsia"/>
                      <w:b w:val="0"/>
                      <w:bCs w:val="0"/>
                      <w:iCs/>
                      <w:color w:val="auto"/>
                      <w:kern w:val="0"/>
                      <w:szCs w:val="21"/>
                      <w:lang w:eastAsia="zh-CN"/>
                    </w:rPr>
                    <w:t>施工期</w:t>
                  </w:r>
                </w:p>
              </w:tc>
              <w:tc>
                <w:tcPr>
                  <w:tcW w:w="938" w:type="dxa"/>
                  <w:vAlign w:val="center"/>
                </w:tcPr>
                <w:p>
                  <w:pPr>
                    <w:autoSpaceDE w:val="0"/>
                    <w:autoSpaceDN w:val="0"/>
                    <w:adjustRightInd w:val="0"/>
                    <w:jc w:val="center"/>
                    <w:rPr>
                      <w:rFonts w:hint="eastAsia" w:eastAsia="宋体"/>
                      <w:b w:val="0"/>
                      <w:bCs w:val="0"/>
                      <w:iCs/>
                      <w:color w:val="auto"/>
                      <w:kern w:val="0"/>
                      <w:szCs w:val="21"/>
                      <w:lang w:eastAsia="zh-CN"/>
                    </w:rPr>
                  </w:pPr>
                  <w:r>
                    <w:rPr>
                      <w:rFonts w:hint="eastAsia"/>
                      <w:b w:val="0"/>
                      <w:bCs w:val="0"/>
                      <w:iCs/>
                      <w:color w:val="auto"/>
                      <w:kern w:val="0"/>
                      <w:szCs w:val="21"/>
                      <w:lang w:eastAsia="zh-CN"/>
                    </w:rPr>
                    <w:t>声环境</w:t>
                  </w:r>
                </w:p>
              </w:tc>
              <w:tc>
                <w:tcPr>
                  <w:tcW w:w="2803" w:type="dxa"/>
                  <w:vAlign w:val="center"/>
                </w:tcPr>
                <w:p>
                  <w:pPr>
                    <w:autoSpaceDE w:val="0"/>
                    <w:autoSpaceDN w:val="0"/>
                    <w:adjustRightInd w:val="0"/>
                    <w:jc w:val="center"/>
                    <w:rPr>
                      <w:rFonts w:hint="eastAsia" w:eastAsia="宋体"/>
                      <w:b w:val="0"/>
                      <w:bCs w:val="0"/>
                      <w:iCs/>
                      <w:color w:val="auto"/>
                      <w:kern w:val="0"/>
                      <w:szCs w:val="21"/>
                      <w:lang w:eastAsia="zh-CN"/>
                    </w:rPr>
                  </w:pPr>
                  <w:r>
                    <w:rPr>
                      <w:rFonts w:hint="eastAsia"/>
                      <w:b w:val="0"/>
                      <w:bCs w:val="0"/>
                      <w:iCs/>
                      <w:color w:val="auto"/>
                      <w:kern w:val="0"/>
                      <w:szCs w:val="21"/>
                      <w:lang w:eastAsia="zh-CN"/>
                    </w:rPr>
                    <w:t>昼间、夜间</w:t>
                  </w:r>
                  <w:r>
                    <w:rPr>
                      <w:rFonts w:hint="eastAsia"/>
                      <w:iCs/>
                      <w:color w:val="auto"/>
                      <w:kern w:val="0"/>
                      <w:szCs w:val="21"/>
                    </w:rPr>
                    <w:t>等效声级，</w:t>
                  </w:r>
                  <w:r>
                    <w:rPr>
                      <w:iCs/>
                      <w:color w:val="auto"/>
                      <w:kern w:val="0"/>
                      <w:szCs w:val="21"/>
                    </w:rPr>
                    <w:t>L</w:t>
                  </w:r>
                  <w:r>
                    <w:rPr>
                      <w:iCs/>
                      <w:color w:val="auto"/>
                      <w:kern w:val="0"/>
                      <w:szCs w:val="21"/>
                      <w:vertAlign w:val="subscript"/>
                    </w:rPr>
                    <w:t>eq</w:t>
                  </w:r>
                </w:p>
              </w:tc>
              <w:tc>
                <w:tcPr>
                  <w:tcW w:w="782" w:type="dxa"/>
                  <w:vAlign w:val="center"/>
                </w:tcPr>
                <w:p>
                  <w:pPr>
                    <w:autoSpaceDE w:val="0"/>
                    <w:autoSpaceDN w:val="0"/>
                    <w:adjustRightInd w:val="0"/>
                    <w:jc w:val="center"/>
                    <w:rPr>
                      <w:rFonts w:hint="eastAsia"/>
                      <w:b w:val="0"/>
                      <w:bCs w:val="0"/>
                      <w:iCs/>
                      <w:color w:val="auto"/>
                      <w:kern w:val="0"/>
                      <w:szCs w:val="21"/>
                    </w:rPr>
                  </w:pPr>
                  <w:r>
                    <w:rPr>
                      <w:iCs/>
                      <w:color w:val="auto"/>
                      <w:kern w:val="0"/>
                      <w:szCs w:val="21"/>
                    </w:rPr>
                    <w:t>dB(A)</w:t>
                  </w:r>
                </w:p>
              </w:tc>
              <w:tc>
                <w:tcPr>
                  <w:tcW w:w="2598" w:type="dxa"/>
                  <w:vAlign w:val="center"/>
                </w:tcPr>
                <w:p>
                  <w:pPr>
                    <w:autoSpaceDE w:val="0"/>
                    <w:autoSpaceDN w:val="0"/>
                    <w:adjustRightInd w:val="0"/>
                    <w:jc w:val="center"/>
                    <w:rPr>
                      <w:rFonts w:hint="default"/>
                      <w:b w:val="0"/>
                      <w:bCs w:val="0"/>
                      <w:iCs/>
                      <w:color w:val="auto"/>
                      <w:kern w:val="0"/>
                      <w:szCs w:val="21"/>
                    </w:rPr>
                  </w:pPr>
                  <w:r>
                    <w:rPr>
                      <w:rFonts w:hint="eastAsia"/>
                      <w:b w:val="0"/>
                      <w:bCs w:val="0"/>
                      <w:iCs/>
                      <w:color w:val="auto"/>
                      <w:kern w:val="0"/>
                      <w:szCs w:val="21"/>
                      <w:lang w:eastAsia="zh-CN"/>
                    </w:rPr>
                    <w:t>昼间、夜间等效声级，</w:t>
                  </w:r>
                  <w:r>
                    <w:rPr>
                      <w:rFonts w:hint="eastAsia"/>
                      <w:b w:val="0"/>
                      <w:bCs w:val="0"/>
                      <w:iCs/>
                      <w:color w:val="auto"/>
                      <w:kern w:val="0"/>
                      <w:szCs w:val="21"/>
                      <w:lang w:val="en-US" w:eastAsia="zh-CN"/>
                    </w:rPr>
                    <w:t>Leq</w:t>
                  </w:r>
                </w:p>
              </w:tc>
              <w:tc>
                <w:tcPr>
                  <w:tcW w:w="1066" w:type="dxa"/>
                  <w:vAlign w:val="center"/>
                </w:tcPr>
                <w:p>
                  <w:pPr>
                    <w:autoSpaceDE w:val="0"/>
                    <w:autoSpaceDN w:val="0"/>
                    <w:adjustRightInd w:val="0"/>
                    <w:jc w:val="center"/>
                    <w:rPr>
                      <w:rFonts w:hint="eastAsia"/>
                      <w:b w:val="0"/>
                      <w:bCs w:val="0"/>
                      <w:iCs/>
                      <w:color w:val="auto"/>
                      <w:kern w:val="0"/>
                      <w:szCs w:val="21"/>
                    </w:rPr>
                  </w:pPr>
                  <w:r>
                    <w:rPr>
                      <w:iCs/>
                      <w:color w:val="auto"/>
                      <w:kern w:val="0"/>
                      <w:szCs w:val="21"/>
                    </w:rPr>
                    <w:t>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blHeader/>
              </w:trPr>
              <w:tc>
                <w:tcPr>
                  <w:tcW w:w="893" w:type="dxa"/>
                  <w:vMerge w:val="continue"/>
                  <w:vAlign w:val="center"/>
                </w:tcPr>
                <w:p>
                  <w:pPr>
                    <w:autoSpaceDE w:val="0"/>
                    <w:autoSpaceDN w:val="0"/>
                    <w:adjustRightInd w:val="0"/>
                    <w:jc w:val="center"/>
                    <w:rPr>
                      <w:rFonts w:hint="eastAsia"/>
                      <w:b w:val="0"/>
                      <w:bCs w:val="0"/>
                      <w:iCs/>
                      <w:color w:val="auto"/>
                      <w:kern w:val="0"/>
                      <w:szCs w:val="21"/>
                    </w:rPr>
                  </w:pPr>
                </w:p>
              </w:tc>
              <w:tc>
                <w:tcPr>
                  <w:tcW w:w="938" w:type="dxa"/>
                  <w:vAlign w:val="center"/>
                </w:tcPr>
                <w:p>
                  <w:pPr>
                    <w:autoSpaceDE w:val="0"/>
                    <w:autoSpaceDN w:val="0"/>
                    <w:adjustRightInd w:val="0"/>
                    <w:jc w:val="center"/>
                    <w:rPr>
                      <w:rFonts w:hint="eastAsia" w:eastAsia="宋体"/>
                      <w:b w:val="0"/>
                      <w:bCs w:val="0"/>
                      <w:iCs/>
                      <w:color w:val="auto"/>
                      <w:kern w:val="0"/>
                      <w:szCs w:val="21"/>
                      <w:lang w:eastAsia="zh-CN"/>
                    </w:rPr>
                  </w:pPr>
                  <w:r>
                    <w:rPr>
                      <w:rFonts w:hint="eastAsia"/>
                      <w:b w:val="0"/>
                      <w:bCs w:val="0"/>
                      <w:iCs/>
                      <w:color w:val="auto"/>
                      <w:kern w:val="0"/>
                      <w:szCs w:val="21"/>
                      <w:lang w:eastAsia="zh-CN"/>
                    </w:rPr>
                    <w:t>生态环境</w:t>
                  </w:r>
                </w:p>
              </w:tc>
              <w:tc>
                <w:tcPr>
                  <w:tcW w:w="2803" w:type="dxa"/>
                  <w:vAlign w:val="center"/>
                </w:tcPr>
                <w:p>
                  <w:pPr>
                    <w:autoSpaceDE w:val="0"/>
                    <w:autoSpaceDN w:val="0"/>
                    <w:adjustRightInd w:val="0"/>
                    <w:jc w:val="center"/>
                    <w:rPr>
                      <w:rFonts w:hint="eastAsia"/>
                      <w:b w:val="0"/>
                      <w:bCs w:val="0"/>
                      <w:iCs/>
                      <w:color w:val="auto"/>
                      <w:kern w:val="0"/>
                      <w:szCs w:val="21"/>
                    </w:rPr>
                  </w:pPr>
                  <w:r>
                    <w:rPr>
                      <w:rFonts w:hint="eastAsia"/>
                      <w:b w:val="0"/>
                      <w:bCs w:val="0"/>
                      <w:iCs/>
                      <w:color w:val="auto"/>
                      <w:kern w:val="0"/>
                      <w:szCs w:val="21"/>
                      <w:lang w:eastAsia="zh-CN"/>
                    </w:rPr>
                    <w:t>生态系统及其生物因子、非生物因子</w:t>
                  </w:r>
                </w:p>
              </w:tc>
              <w:tc>
                <w:tcPr>
                  <w:tcW w:w="782" w:type="dxa"/>
                  <w:vAlign w:val="center"/>
                </w:tcPr>
                <w:p>
                  <w:pPr>
                    <w:autoSpaceDE w:val="0"/>
                    <w:autoSpaceDN w:val="0"/>
                    <w:adjustRightInd w:val="0"/>
                    <w:jc w:val="center"/>
                    <w:rPr>
                      <w:rFonts w:hint="eastAsia"/>
                      <w:b w:val="0"/>
                      <w:bCs w:val="0"/>
                      <w:iCs/>
                      <w:color w:val="auto"/>
                      <w:kern w:val="0"/>
                      <w:szCs w:val="21"/>
                    </w:rPr>
                  </w:pPr>
                  <w:r>
                    <w:rPr>
                      <w:rFonts w:hint="eastAsia"/>
                      <w:b w:val="0"/>
                      <w:bCs w:val="0"/>
                      <w:iCs/>
                      <w:color w:val="auto"/>
                      <w:kern w:val="0"/>
                      <w:szCs w:val="21"/>
                      <w:lang w:eastAsia="zh-CN"/>
                    </w:rPr>
                    <w:t>——</w:t>
                  </w:r>
                </w:p>
              </w:tc>
              <w:tc>
                <w:tcPr>
                  <w:tcW w:w="2598" w:type="dxa"/>
                  <w:vAlign w:val="center"/>
                </w:tcPr>
                <w:p>
                  <w:pPr>
                    <w:autoSpaceDE w:val="0"/>
                    <w:autoSpaceDN w:val="0"/>
                    <w:adjustRightInd w:val="0"/>
                    <w:jc w:val="center"/>
                    <w:rPr>
                      <w:rFonts w:hint="eastAsia"/>
                      <w:b w:val="0"/>
                      <w:bCs w:val="0"/>
                      <w:iCs/>
                      <w:color w:val="auto"/>
                      <w:kern w:val="0"/>
                      <w:szCs w:val="21"/>
                    </w:rPr>
                  </w:pPr>
                  <w:r>
                    <w:rPr>
                      <w:rFonts w:hint="eastAsia"/>
                      <w:b w:val="0"/>
                      <w:bCs w:val="0"/>
                      <w:iCs/>
                      <w:color w:val="auto"/>
                      <w:kern w:val="0"/>
                      <w:szCs w:val="21"/>
                      <w:lang w:eastAsia="zh-CN"/>
                    </w:rPr>
                    <w:t>生态系统及其生物因子、非生物因子</w:t>
                  </w:r>
                </w:p>
              </w:tc>
              <w:tc>
                <w:tcPr>
                  <w:tcW w:w="1066" w:type="dxa"/>
                  <w:vAlign w:val="center"/>
                </w:tcPr>
                <w:p>
                  <w:pPr>
                    <w:autoSpaceDE w:val="0"/>
                    <w:autoSpaceDN w:val="0"/>
                    <w:adjustRightInd w:val="0"/>
                    <w:jc w:val="center"/>
                    <w:rPr>
                      <w:rFonts w:hint="eastAsia"/>
                      <w:b w:val="0"/>
                      <w:bCs w:val="0"/>
                      <w:iCs/>
                      <w:color w:val="auto"/>
                      <w:kern w:val="0"/>
                      <w:szCs w:val="21"/>
                    </w:rPr>
                  </w:pPr>
                  <w:r>
                    <w:rPr>
                      <w:rFonts w:hint="eastAsia"/>
                      <w:b w:val="0"/>
                      <w:bCs w:val="0"/>
                      <w:iCs/>
                      <w:color w:val="auto"/>
                      <w:kern w:val="0"/>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blHeader/>
              </w:trPr>
              <w:tc>
                <w:tcPr>
                  <w:tcW w:w="893" w:type="dxa"/>
                  <w:vMerge w:val="continue"/>
                  <w:vAlign w:val="center"/>
                </w:tcPr>
                <w:p>
                  <w:pPr>
                    <w:autoSpaceDE w:val="0"/>
                    <w:autoSpaceDN w:val="0"/>
                    <w:adjustRightInd w:val="0"/>
                    <w:jc w:val="center"/>
                    <w:rPr>
                      <w:rFonts w:hint="eastAsia"/>
                      <w:b w:val="0"/>
                      <w:bCs w:val="0"/>
                      <w:iCs/>
                      <w:color w:val="auto"/>
                      <w:kern w:val="0"/>
                      <w:szCs w:val="21"/>
                    </w:rPr>
                  </w:pPr>
                </w:p>
              </w:tc>
              <w:tc>
                <w:tcPr>
                  <w:tcW w:w="938" w:type="dxa"/>
                  <w:vAlign w:val="center"/>
                </w:tcPr>
                <w:p>
                  <w:pPr>
                    <w:autoSpaceDE w:val="0"/>
                    <w:autoSpaceDN w:val="0"/>
                    <w:adjustRightInd w:val="0"/>
                    <w:jc w:val="center"/>
                    <w:rPr>
                      <w:rFonts w:hint="eastAsia" w:eastAsia="宋体"/>
                      <w:b w:val="0"/>
                      <w:bCs w:val="0"/>
                      <w:iCs/>
                      <w:color w:val="auto"/>
                      <w:kern w:val="0"/>
                      <w:szCs w:val="21"/>
                      <w:lang w:eastAsia="zh-CN"/>
                    </w:rPr>
                  </w:pPr>
                  <w:r>
                    <w:rPr>
                      <w:rFonts w:hint="eastAsia"/>
                      <w:b w:val="0"/>
                      <w:bCs w:val="0"/>
                      <w:iCs/>
                      <w:color w:val="auto"/>
                      <w:kern w:val="0"/>
                      <w:szCs w:val="21"/>
                      <w:lang w:eastAsia="zh-CN"/>
                    </w:rPr>
                    <w:t>地表水环境</w:t>
                  </w:r>
                </w:p>
              </w:tc>
              <w:tc>
                <w:tcPr>
                  <w:tcW w:w="2803" w:type="dxa"/>
                  <w:vAlign w:val="center"/>
                </w:tcPr>
                <w:p>
                  <w:pPr>
                    <w:autoSpaceDE w:val="0"/>
                    <w:autoSpaceDN w:val="0"/>
                    <w:adjustRightInd w:val="0"/>
                    <w:jc w:val="center"/>
                    <w:rPr>
                      <w:rFonts w:hint="default"/>
                      <w:b w:val="0"/>
                      <w:bCs w:val="0"/>
                      <w:iCs/>
                      <w:color w:val="auto"/>
                      <w:kern w:val="0"/>
                      <w:szCs w:val="21"/>
                    </w:rPr>
                  </w:pPr>
                  <w:r>
                    <w:rPr>
                      <w:rFonts w:hint="eastAsia"/>
                      <w:b w:val="0"/>
                      <w:bCs w:val="0"/>
                      <w:iCs/>
                      <w:color w:val="auto"/>
                      <w:kern w:val="0"/>
                      <w:szCs w:val="21"/>
                      <w:lang w:val="en-US" w:eastAsia="zh-CN"/>
                    </w:rPr>
                    <w:t>pH、COD、BOD</w:t>
                  </w:r>
                  <w:r>
                    <w:rPr>
                      <w:rFonts w:hint="eastAsia"/>
                      <w:b w:val="0"/>
                      <w:bCs w:val="0"/>
                      <w:iCs/>
                      <w:color w:val="auto"/>
                      <w:kern w:val="0"/>
                      <w:szCs w:val="21"/>
                      <w:vertAlign w:val="subscript"/>
                      <w:lang w:val="en-US" w:eastAsia="zh-CN"/>
                    </w:rPr>
                    <w:t>5</w:t>
                  </w:r>
                  <w:r>
                    <w:rPr>
                      <w:rFonts w:hint="eastAsia"/>
                      <w:b w:val="0"/>
                      <w:bCs w:val="0"/>
                      <w:iCs/>
                      <w:color w:val="auto"/>
                      <w:kern w:val="0"/>
                      <w:szCs w:val="21"/>
                      <w:lang w:val="en-US" w:eastAsia="zh-CN"/>
                    </w:rPr>
                    <w:t>、NH</w:t>
                  </w:r>
                  <w:r>
                    <w:rPr>
                      <w:rFonts w:hint="eastAsia"/>
                      <w:b w:val="0"/>
                      <w:bCs w:val="0"/>
                      <w:iCs/>
                      <w:color w:val="auto"/>
                      <w:kern w:val="0"/>
                      <w:szCs w:val="21"/>
                      <w:vertAlign w:val="subscript"/>
                      <w:lang w:val="en-US" w:eastAsia="zh-CN"/>
                    </w:rPr>
                    <w:t>3</w:t>
                  </w:r>
                  <w:r>
                    <w:rPr>
                      <w:rFonts w:hint="eastAsia"/>
                      <w:b w:val="0"/>
                      <w:bCs w:val="0"/>
                      <w:iCs/>
                      <w:color w:val="auto"/>
                      <w:kern w:val="0"/>
                      <w:szCs w:val="21"/>
                      <w:lang w:val="en-US" w:eastAsia="zh-CN"/>
                    </w:rPr>
                    <w:t>-N石油类</w:t>
                  </w:r>
                </w:p>
              </w:tc>
              <w:tc>
                <w:tcPr>
                  <w:tcW w:w="782" w:type="dxa"/>
                  <w:vAlign w:val="center"/>
                </w:tcPr>
                <w:p>
                  <w:pPr>
                    <w:autoSpaceDE w:val="0"/>
                    <w:autoSpaceDN w:val="0"/>
                    <w:adjustRightInd w:val="0"/>
                    <w:jc w:val="center"/>
                    <w:rPr>
                      <w:rFonts w:hint="default"/>
                      <w:b w:val="0"/>
                      <w:bCs w:val="0"/>
                      <w:iCs/>
                      <w:color w:val="auto"/>
                      <w:kern w:val="0"/>
                      <w:szCs w:val="21"/>
                    </w:rPr>
                  </w:pPr>
                  <w:r>
                    <w:rPr>
                      <w:rFonts w:hint="eastAsia"/>
                      <w:b w:val="0"/>
                      <w:bCs w:val="0"/>
                      <w:iCs/>
                      <w:color w:val="auto"/>
                      <w:kern w:val="0"/>
                      <w:szCs w:val="21"/>
                      <w:lang w:val="en-US" w:eastAsia="zh-CN"/>
                    </w:rPr>
                    <w:t>mg/L</w:t>
                  </w:r>
                </w:p>
              </w:tc>
              <w:tc>
                <w:tcPr>
                  <w:tcW w:w="2598" w:type="dxa"/>
                  <w:vAlign w:val="center"/>
                </w:tcPr>
                <w:p>
                  <w:pPr>
                    <w:autoSpaceDE w:val="0"/>
                    <w:autoSpaceDN w:val="0"/>
                    <w:adjustRightInd w:val="0"/>
                    <w:jc w:val="center"/>
                    <w:rPr>
                      <w:rFonts w:hint="default"/>
                      <w:b w:val="0"/>
                      <w:bCs w:val="0"/>
                      <w:iCs/>
                      <w:color w:val="auto"/>
                      <w:kern w:val="0"/>
                      <w:szCs w:val="21"/>
                    </w:rPr>
                  </w:pPr>
                  <w:r>
                    <w:rPr>
                      <w:rFonts w:hint="eastAsia"/>
                      <w:b w:val="0"/>
                      <w:bCs w:val="0"/>
                      <w:iCs/>
                      <w:color w:val="auto"/>
                      <w:kern w:val="0"/>
                      <w:szCs w:val="21"/>
                      <w:lang w:val="en-US" w:eastAsia="zh-CN"/>
                    </w:rPr>
                    <w:t>pH、COD、BOD</w:t>
                  </w:r>
                  <w:r>
                    <w:rPr>
                      <w:rFonts w:hint="eastAsia"/>
                      <w:b w:val="0"/>
                      <w:bCs w:val="0"/>
                      <w:iCs/>
                      <w:color w:val="auto"/>
                      <w:kern w:val="0"/>
                      <w:szCs w:val="21"/>
                      <w:vertAlign w:val="subscript"/>
                      <w:lang w:val="en-US" w:eastAsia="zh-CN"/>
                    </w:rPr>
                    <w:t>5</w:t>
                  </w:r>
                  <w:r>
                    <w:rPr>
                      <w:rFonts w:hint="eastAsia"/>
                      <w:b w:val="0"/>
                      <w:bCs w:val="0"/>
                      <w:iCs/>
                      <w:color w:val="auto"/>
                      <w:kern w:val="0"/>
                      <w:szCs w:val="21"/>
                      <w:lang w:val="en-US" w:eastAsia="zh-CN"/>
                    </w:rPr>
                    <w:t>、NH</w:t>
                  </w:r>
                  <w:r>
                    <w:rPr>
                      <w:rFonts w:hint="eastAsia"/>
                      <w:b w:val="0"/>
                      <w:bCs w:val="0"/>
                      <w:iCs/>
                      <w:color w:val="auto"/>
                      <w:kern w:val="0"/>
                      <w:szCs w:val="21"/>
                      <w:vertAlign w:val="subscript"/>
                      <w:lang w:val="en-US" w:eastAsia="zh-CN"/>
                    </w:rPr>
                    <w:t>3</w:t>
                  </w:r>
                  <w:r>
                    <w:rPr>
                      <w:rFonts w:hint="eastAsia"/>
                      <w:b w:val="0"/>
                      <w:bCs w:val="0"/>
                      <w:iCs/>
                      <w:color w:val="auto"/>
                      <w:kern w:val="0"/>
                      <w:szCs w:val="21"/>
                      <w:lang w:val="en-US" w:eastAsia="zh-CN"/>
                    </w:rPr>
                    <w:t>-N石油类</w:t>
                  </w:r>
                </w:p>
              </w:tc>
              <w:tc>
                <w:tcPr>
                  <w:tcW w:w="1066" w:type="dxa"/>
                  <w:vAlign w:val="center"/>
                </w:tcPr>
                <w:p>
                  <w:pPr>
                    <w:autoSpaceDE w:val="0"/>
                    <w:autoSpaceDN w:val="0"/>
                    <w:adjustRightInd w:val="0"/>
                    <w:jc w:val="center"/>
                    <w:rPr>
                      <w:rFonts w:hint="default"/>
                      <w:b w:val="0"/>
                      <w:bCs w:val="0"/>
                      <w:iCs/>
                      <w:color w:val="auto"/>
                      <w:kern w:val="0"/>
                      <w:szCs w:val="21"/>
                    </w:rPr>
                  </w:pPr>
                  <w:r>
                    <w:rPr>
                      <w:rFonts w:hint="eastAsia"/>
                      <w:b w:val="0"/>
                      <w:bCs w:val="0"/>
                      <w:iCs/>
                      <w:color w:val="auto"/>
                      <w:kern w:val="0"/>
                      <w:szCs w:val="21"/>
                      <w:lang w:val="en-US" w:eastAsia="zh-CN"/>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93" w:type="dxa"/>
                  <w:vMerge w:val="restart"/>
                  <w:vAlign w:val="center"/>
                </w:tcPr>
                <w:p>
                  <w:pPr>
                    <w:autoSpaceDE w:val="0"/>
                    <w:autoSpaceDN w:val="0"/>
                    <w:adjustRightInd w:val="0"/>
                    <w:jc w:val="center"/>
                    <w:rPr>
                      <w:iCs/>
                      <w:color w:val="auto"/>
                      <w:kern w:val="0"/>
                      <w:szCs w:val="21"/>
                    </w:rPr>
                  </w:pPr>
                  <w:r>
                    <w:rPr>
                      <w:rFonts w:hint="eastAsia"/>
                      <w:iCs/>
                      <w:color w:val="auto"/>
                      <w:kern w:val="0"/>
                      <w:szCs w:val="21"/>
                    </w:rPr>
                    <w:t>运行期</w:t>
                  </w:r>
                </w:p>
              </w:tc>
              <w:tc>
                <w:tcPr>
                  <w:tcW w:w="938" w:type="dxa"/>
                  <w:vMerge w:val="restart"/>
                  <w:vAlign w:val="center"/>
                </w:tcPr>
                <w:p>
                  <w:pPr>
                    <w:autoSpaceDE w:val="0"/>
                    <w:autoSpaceDN w:val="0"/>
                    <w:adjustRightInd w:val="0"/>
                    <w:jc w:val="center"/>
                    <w:rPr>
                      <w:iCs/>
                      <w:color w:val="auto"/>
                      <w:kern w:val="0"/>
                      <w:szCs w:val="21"/>
                    </w:rPr>
                  </w:pPr>
                  <w:r>
                    <w:rPr>
                      <w:rFonts w:hint="eastAsia"/>
                      <w:iCs/>
                      <w:color w:val="auto"/>
                      <w:kern w:val="0"/>
                      <w:szCs w:val="21"/>
                    </w:rPr>
                    <w:t>电磁</w:t>
                  </w:r>
                </w:p>
                <w:p>
                  <w:pPr>
                    <w:autoSpaceDE w:val="0"/>
                    <w:autoSpaceDN w:val="0"/>
                    <w:adjustRightInd w:val="0"/>
                    <w:jc w:val="center"/>
                    <w:rPr>
                      <w:iCs/>
                      <w:color w:val="auto"/>
                      <w:kern w:val="0"/>
                      <w:szCs w:val="21"/>
                    </w:rPr>
                  </w:pPr>
                  <w:r>
                    <w:rPr>
                      <w:rFonts w:hint="eastAsia"/>
                      <w:iCs/>
                      <w:color w:val="auto"/>
                      <w:kern w:val="0"/>
                      <w:szCs w:val="21"/>
                    </w:rPr>
                    <w:t>环境</w:t>
                  </w:r>
                </w:p>
              </w:tc>
              <w:tc>
                <w:tcPr>
                  <w:tcW w:w="2803" w:type="dxa"/>
                  <w:vAlign w:val="center"/>
                </w:tcPr>
                <w:p>
                  <w:pPr>
                    <w:autoSpaceDE w:val="0"/>
                    <w:autoSpaceDN w:val="0"/>
                    <w:adjustRightInd w:val="0"/>
                    <w:jc w:val="center"/>
                    <w:rPr>
                      <w:iCs/>
                      <w:color w:val="auto"/>
                      <w:kern w:val="0"/>
                      <w:szCs w:val="21"/>
                    </w:rPr>
                  </w:pPr>
                  <w:r>
                    <w:rPr>
                      <w:rFonts w:hint="eastAsia"/>
                      <w:iCs/>
                      <w:color w:val="auto"/>
                      <w:kern w:val="0"/>
                      <w:szCs w:val="21"/>
                    </w:rPr>
                    <w:t>工频电场</w:t>
                  </w:r>
                </w:p>
              </w:tc>
              <w:tc>
                <w:tcPr>
                  <w:tcW w:w="782" w:type="dxa"/>
                  <w:vAlign w:val="center"/>
                </w:tcPr>
                <w:p>
                  <w:pPr>
                    <w:autoSpaceDE w:val="0"/>
                    <w:autoSpaceDN w:val="0"/>
                    <w:adjustRightInd w:val="0"/>
                    <w:jc w:val="center"/>
                    <w:rPr>
                      <w:iCs/>
                      <w:color w:val="auto"/>
                      <w:kern w:val="0"/>
                      <w:szCs w:val="21"/>
                    </w:rPr>
                  </w:pPr>
                  <w:r>
                    <w:rPr>
                      <w:iCs/>
                      <w:color w:val="auto"/>
                      <w:szCs w:val="21"/>
                    </w:rPr>
                    <w:t>kV/m</w:t>
                  </w:r>
                </w:p>
              </w:tc>
              <w:tc>
                <w:tcPr>
                  <w:tcW w:w="2598" w:type="dxa"/>
                  <w:vAlign w:val="center"/>
                </w:tcPr>
                <w:p>
                  <w:pPr>
                    <w:autoSpaceDE w:val="0"/>
                    <w:autoSpaceDN w:val="0"/>
                    <w:adjustRightInd w:val="0"/>
                    <w:jc w:val="center"/>
                    <w:rPr>
                      <w:iCs/>
                      <w:color w:val="auto"/>
                      <w:kern w:val="0"/>
                      <w:szCs w:val="21"/>
                    </w:rPr>
                  </w:pPr>
                  <w:r>
                    <w:rPr>
                      <w:rFonts w:hint="eastAsia"/>
                      <w:iCs/>
                      <w:color w:val="auto"/>
                      <w:kern w:val="0"/>
                      <w:szCs w:val="21"/>
                    </w:rPr>
                    <w:t>工频电场</w:t>
                  </w:r>
                </w:p>
              </w:tc>
              <w:tc>
                <w:tcPr>
                  <w:tcW w:w="1066" w:type="dxa"/>
                  <w:vAlign w:val="center"/>
                </w:tcPr>
                <w:p>
                  <w:pPr>
                    <w:autoSpaceDE w:val="0"/>
                    <w:autoSpaceDN w:val="0"/>
                    <w:adjustRightInd w:val="0"/>
                    <w:jc w:val="center"/>
                    <w:rPr>
                      <w:iCs/>
                      <w:color w:val="auto"/>
                      <w:kern w:val="0"/>
                      <w:szCs w:val="21"/>
                    </w:rPr>
                  </w:pPr>
                  <w:r>
                    <w:rPr>
                      <w:iCs/>
                      <w:color w:val="auto"/>
                      <w:szCs w:val="21"/>
                    </w:rPr>
                    <w:t>kV/m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93" w:type="dxa"/>
                  <w:vMerge w:val="continue"/>
                  <w:vAlign w:val="center"/>
                </w:tcPr>
                <w:p>
                  <w:pPr>
                    <w:autoSpaceDE w:val="0"/>
                    <w:autoSpaceDN w:val="0"/>
                    <w:adjustRightInd w:val="0"/>
                    <w:jc w:val="center"/>
                    <w:rPr>
                      <w:iCs/>
                      <w:color w:val="auto"/>
                      <w:kern w:val="0"/>
                      <w:szCs w:val="21"/>
                    </w:rPr>
                  </w:pPr>
                </w:p>
              </w:tc>
              <w:tc>
                <w:tcPr>
                  <w:tcW w:w="938" w:type="dxa"/>
                  <w:vMerge w:val="continue"/>
                  <w:vAlign w:val="center"/>
                </w:tcPr>
                <w:p>
                  <w:pPr>
                    <w:autoSpaceDE w:val="0"/>
                    <w:autoSpaceDN w:val="0"/>
                    <w:adjustRightInd w:val="0"/>
                    <w:jc w:val="center"/>
                    <w:rPr>
                      <w:iCs/>
                      <w:color w:val="auto"/>
                      <w:kern w:val="0"/>
                      <w:szCs w:val="21"/>
                    </w:rPr>
                  </w:pPr>
                </w:p>
              </w:tc>
              <w:tc>
                <w:tcPr>
                  <w:tcW w:w="2803" w:type="dxa"/>
                  <w:vAlign w:val="center"/>
                </w:tcPr>
                <w:p>
                  <w:pPr>
                    <w:autoSpaceDE w:val="0"/>
                    <w:autoSpaceDN w:val="0"/>
                    <w:adjustRightInd w:val="0"/>
                    <w:jc w:val="center"/>
                    <w:rPr>
                      <w:rFonts w:hint="eastAsia" w:eastAsia="宋体"/>
                      <w:iCs/>
                      <w:color w:val="auto"/>
                      <w:kern w:val="0"/>
                      <w:szCs w:val="21"/>
                      <w:lang w:eastAsia="zh-CN"/>
                    </w:rPr>
                  </w:pPr>
                  <w:r>
                    <w:rPr>
                      <w:rFonts w:hint="eastAsia"/>
                      <w:iCs/>
                      <w:color w:val="auto"/>
                      <w:kern w:val="0"/>
                      <w:szCs w:val="21"/>
                      <w:lang w:eastAsia="zh-CN"/>
                    </w:rPr>
                    <w:t>工频磁场</w:t>
                  </w:r>
                </w:p>
              </w:tc>
              <w:tc>
                <w:tcPr>
                  <w:tcW w:w="782" w:type="dxa"/>
                  <w:vAlign w:val="center"/>
                </w:tcPr>
                <w:p>
                  <w:pPr>
                    <w:autoSpaceDE w:val="0"/>
                    <w:autoSpaceDN w:val="0"/>
                    <w:adjustRightInd w:val="0"/>
                    <w:jc w:val="center"/>
                    <w:rPr>
                      <w:iCs/>
                      <w:color w:val="auto"/>
                      <w:szCs w:val="21"/>
                    </w:rPr>
                  </w:pPr>
                  <w:r>
                    <w:rPr>
                      <w:iCs/>
                      <w:color w:val="auto"/>
                      <w:szCs w:val="21"/>
                    </w:rPr>
                    <w:t>µT</w:t>
                  </w:r>
                </w:p>
              </w:tc>
              <w:tc>
                <w:tcPr>
                  <w:tcW w:w="2598" w:type="dxa"/>
                  <w:vAlign w:val="center"/>
                </w:tcPr>
                <w:p>
                  <w:pPr>
                    <w:autoSpaceDE w:val="0"/>
                    <w:autoSpaceDN w:val="0"/>
                    <w:adjustRightInd w:val="0"/>
                    <w:jc w:val="center"/>
                    <w:rPr>
                      <w:rFonts w:hint="eastAsia" w:eastAsia="宋体"/>
                      <w:iCs/>
                      <w:color w:val="auto"/>
                      <w:kern w:val="0"/>
                      <w:szCs w:val="21"/>
                      <w:lang w:eastAsia="zh-CN"/>
                    </w:rPr>
                  </w:pPr>
                  <w:r>
                    <w:rPr>
                      <w:rFonts w:hint="eastAsia"/>
                      <w:iCs/>
                      <w:color w:val="auto"/>
                      <w:kern w:val="0"/>
                      <w:szCs w:val="21"/>
                      <w:lang w:eastAsia="zh-CN"/>
                    </w:rPr>
                    <w:t>工频磁场</w:t>
                  </w:r>
                </w:p>
              </w:tc>
              <w:tc>
                <w:tcPr>
                  <w:tcW w:w="1066" w:type="dxa"/>
                  <w:vAlign w:val="center"/>
                </w:tcPr>
                <w:p>
                  <w:pPr>
                    <w:autoSpaceDE w:val="0"/>
                    <w:autoSpaceDN w:val="0"/>
                    <w:adjustRightInd w:val="0"/>
                    <w:jc w:val="center"/>
                    <w:rPr>
                      <w:iCs/>
                      <w:color w:val="auto"/>
                      <w:szCs w:val="21"/>
                    </w:rPr>
                  </w:pPr>
                  <w:r>
                    <w:rPr>
                      <w:iCs/>
                      <w:color w:val="auto"/>
                      <w:szCs w:val="21"/>
                    </w:rPr>
                    <w:t>µT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93" w:type="dxa"/>
                  <w:vMerge w:val="continue"/>
                  <w:vAlign w:val="center"/>
                </w:tcPr>
                <w:p>
                  <w:pPr>
                    <w:autoSpaceDE w:val="0"/>
                    <w:autoSpaceDN w:val="0"/>
                    <w:adjustRightInd w:val="0"/>
                    <w:jc w:val="center"/>
                    <w:rPr>
                      <w:iCs/>
                      <w:color w:val="auto"/>
                      <w:kern w:val="0"/>
                      <w:szCs w:val="21"/>
                    </w:rPr>
                  </w:pPr>
                </w:p>
              </w:tc>
              <w:tc>
                <w:tcPr>
                  <w:tcW w:w="938" w:type="dxa"/>
                  <w:vAlign w:val="center"/>
                </w:tcPr>
                <w:p>
                  <w:pPr>
                    <w:autoSpaceDE w:val="0"/>
                    <w:autoSpaceDN w:val="0"/>
                    <w:adjustRightInd w:val="0"/>
                    <w:jc w:val="center"/>
                    <w:rPr>
                      <w:iCs/>
                      <w:color w:val="auto"/>
                      <w:kern w:val="0"/>
                      <w:szCs w:val="21"/>
                    </w:rPr>
                  </w:pPr>
                  <w:r>
                    <w:rPr>
                      <w:rFonts w:hint="eastAsia"/>
                      <w:iCs/>
                      <w:color w:val="auto"/>
                      <w:kern w:val="0"/>
                      <w:szCs w:val="21"/>
                    </w:rPr>
                    <w:t>声环境</w:t>
                  </w:r>
                </w:p>
              </w:tc>
              <w:tc>
                <w:tcPr>
                  <w:tcW w:w="2803" w:type="dxa"/>
                  <w:vAlign w:val="center"/>
                </w:tcPr>
                <w:p>
                  <w:pPr>
                    <w:autoSpaceDE w:val="0"/>
                    <w:autoSpaceDN w:val="0"/>
                    <w:adjustRightInd w:val="0"/>
                    <w:jc w:val="center"/>
                    <w:rPr>
                      <w:iCs/>
                      <w:color w:val="auto"/>
                      <w:kern w:val="0"/>
                      <w:szCs w:val="21"/>
                    </w:rPr>
                  </w:pPr>
                  <w:r>
                    <w:rPr>
                      <w:rFonts w:hint="eastAsia"/>
                      <w:iCs/>
                      <w:color w:val="auto"/>
                      <w:kern w:val="0"/>
                      <w:szCs w:val="21"/>
                    </w:rPr>
                    <w:t>昼夜、夜间等效声级，</w:t>
                  </w:r>
                  <w:r>
                    <w:rPr>
                      <w:iCs/>
                      <w:color w:val="auto"/>
                      <w:kern w:val="0"/>
                      <w:szCs w:val="21"/>
                    </w:rPr>
                    <w:t>L</w:t>
                  </w:r>
                  <w:r>
                    <w:rPr>
                      <w:iCs/>
                      <w:color w:val="auto"/>
                      <w:kern w:val="0"/>
                      <w:szCs w:val="21"/>
                      <w:vertAlign w:val="subscript"/>
                    </w:rPr>
                    <w:t>eq</w:t>
                  </w:r>
                </w:p>
              </w:tc>
              <w:tc>
                <w:tcPr>
                  <w:tcW w:w="782" w:type="dxa"/>
                  <w:vAlign w:val="center"/>
                </w:tcPr>
                <w:p>
                  <w:pPr>
                    <w:autoSpaceDE w:val="0"/>
                    <w:autoSpaceDN w:val="0"/>
                    <w:adjustRightInd w:val="0"/>
                    <w:jc w:val="center"/>
                    <w:rPr>
                      <w:iCs/>
                      <w:color w:val="auto"/>
                      <w:kern w:val="0"/>
                      <w:szCs w:val="21"/>
                    </w:rPr>
                  </w:pPr>
                  <w:r>
                    <w:rPr>
                      <w:iCs/>
                      <w:color w:val="auto"/>
                      <w:kern w:val="0"/>
                      <w:szCs w:val="21"/>
                    </w:rPr>
                    <w:t>dB(A)</w:t>
                  </w:r>
                </w:p>
              </w:tc>
              <w:tc>
                <w:tcPr>
                  <w:tcW w:w="2598" w:type="dxa"/>
                  <w:vAlign w:val="center"/>
                </w:tcPr>
                <w:p>
                  <w:pPr>
                    <w:autoSpaceDE w:val="0"/>
                    <w:autoSpaceDN w:val="0"/>
                    <w:adjustRightInd w:val="0"/>
                    <w:jc w:val="center"/>
                    <w:rPr>
                      <w:iCs/>
                      <w:color w:val="auto"/>
                      <w:kern w:val="0"/>
                      <w:szCs w:val="21"/>
                    </w:rPr>
                  </w:pPr>
                  <w:r>
                    <w:rPr>
                      <w:rFonts w:hint="eastAsia"/>
                      <w:iCs/>
                      <w:color w:val="auto"/>
                      <w:kern w:val="0"/>
                      <w:szCs w:val="21"/>
                    </w:rPr>
                    <w:t>昼夜、夜间等效声级，</w:t>
                  </w:r>
                  <w:r>
                    <w:rPr>
                      <w:iCs/>
                      <w:color w:val="auto"/>
                      <w:kern w:val="0"/>
                      <w:szCs w:val="21"/>
                    </w:rPr>
                    <w:t>L</w:t>
                  </w:r>
                  <w:r>
                    <w:rPr>
                      <w:iCs/>
                      <w:color w:val="auto"/>
                      <w:kern w:val="0"/>
                      <w:szCs w:val="21"/>
                      <w:vertAlign w:val="subscript"/>
                    </w:rPr>
                    <w:t>eq</w:t>
                  </w:r>
                </w:p>
              </w:tc>
              <w:tc>
                <w:tcPr>
                  <w:tcW w:w="1066" w:type="dxa"/>
                  <w:vAlign w:val="center"/>
                </w:tcPr>
                <w:p>
                  <w:pPr>
                    <w:autoSpaceDE w:val="0"/>
                    <w:autoSpaceDN w:val="0"/>
                    <w:adjustRightInd w:val="0"/>
                    <w:jc w:val="center"/>
                    <w:rPr>
                      <w:iCs/>
                      <w:color w:val="auto"/>
                      <w:kern w:val="0"/>
                      <w:szCs w:val="21"/>
                    </w:rPr>
                  </w:pPr>
                  <w:r>
                    <w:rPr>
                      <w:iCs/>
                      <w:color w:val="auto"/>
                      <w:kern w:val="0"/>
                      <w:szCs w:val="21"/>
                    </w:rPr>
                    <w:t>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893" w:type="dxa"/>
                  <w:vMerge w:val="continue"/>
                  <w:vAlign w:val="center"/>
                </w:tcPr>
                <w:p>
                  <w:pPr>
                    <w:autoSpaceDE w:val="0"/>
                    <w:autoSpaceDN w:val="0"/>
                    <w:adjustRightInd w:val="0"/>
                    <w:jc w:val="center"/>
                    <w:rPr>
                      <w:iCs/>
                      <w:color w:val="auto"/>
                      <w:kern w:val="0"/>
                      <w:szCs w:val="21"/>
                    </w:rPr>
                  </w:pPr>
                </w:p>
              </w:tc>
              <w:tc>
                <w:tcPr>
                  <w:tcW w:w="938" w:type="dxa"/>
                  <w:vAlign w:val="center"/>
                </w:tcPr>
                <w:p>
                  <w:pPr>
                    <w:autoSpaceDE w:val="0"/>
                    <w:autoSpaceDN w:val="0"/>
                    <w:adjustRightInd w:val="0"/>
                    <w:jc w:val="center"/>
                    <w:rPr>
                      <w:rFonts w:hint="eastAsia" w:eastAsia="宋体"/>
                      <w:iCs/>
                      <w:color w:val="auto"/>
                      <w:kern w:val="0"/>
                      <w:szCs w:val="21"/>
                      <w:lang w:eastAsia="zh-CN"/>
                    </w:rPr>
                  </w:pPr>
                  <w:r>
                    <w:rPr>
                      <w:rFonts w:hint="eastAsia"/>
                      <w:iCs/>
                      <w:color w:val="auto"/>
                      <w:kern w:val="0"/>
                      <w:szCs w:val="21"/>
                      <w:lang w:eastAsia="zh-CN"/>
                    </w:rPr>
                    <w:t>地表水环境</w:t>
                  </w:r>
                </w:p>
              </w:tc>
              <w:tc>
                <w:tcPr>
                  <w:tcW w:w="2803" w:type="dxa"/>
                  <w:vAlign w:val="center"/>
                </w:tcPr>
                <w:p>
                  <w:pPr>
                    <w:autoSpaceDE w:val="0"/>
                    <w:autoSpaceDN w:val="0"/>
                    <w:adjustRightInd w:val="0"/>
                    <w:jc w:val="center"/>
                    <w:rPr>
                      <w:rFonts w:hint="eastAsia"/>
                      <w:iCs/>
                      <w:color w:val="auto"/>
                      <w:kern w:val="0"/>
                      <w:szCs w:val="21"/>
                    </w:rPr>
                  </w:pPr>
                  <w:r>
                    <w:rPr>
                      <w:rFonts w:hint="eastAsia"/>
                      <w:b w:val="0"/>
                      <w:bCs w:val="0"/>
                      <w:iCs/>
                      <w:color w:val="auto"/>
                      <w:kern w:val="0"/>
                      <w:szCs w:val="21"/>
                      <w:lang w:val="en-US" w:eastAsia="zh-CN"/>
                    </w:rPr>
                    <w:t>pH、COD、BOD</w:t>
                  </w:r>
                  <w:r>
                    <w:rPr>
                      <w:rFonts w:hint="eastAsia"/>
                      <w:b w:val="0"/>
                      <w:bCs w:val="0"/>
                      <w:iCs/>
                      <w:color w:val="auto"/>
                      <w:kern w:val="0"/>
                      <w:szCs w:val="21"/>
                      <w:vertAlign w:val="subscript"/>
                      <w:lang w:val="en-US" w:eastAsia="zh-CN"/>
                    </w:rPr>
                    <w:t>5</w:t>
                  </w:r>
                  <w:r>
                    <w:rPr>
                      <w:rFonts w:hint="eastAsia"/>
                      <w:b w:val="0"/>
                      <w:bCs w:val="0"/>
                      <w:iCs/>
                      <w:color w:val="auto"/>
                      <w:kern w:val="0"/>
                      <w:szCs w:val="21"/>
                      <w:lang w:val="en-US" w:eastAsia="zh-CN"/>
                    </w:rPr>
                    <w:t>、NH</w:t>
                  </w:r>
                  <w:r>
                    <w:rPr>
                      <w:rFonts w:hint="eastAsia"/>
                      <w:b w:val="0"/>
                      <w:bCs w:val="0"/>
                      <w:iCs/>
                      <w:color w:val="auto"/>
                      <w:kern w:val="0"/>
                      <w:szCs w:val="21"/>
                      <w:vertAlign w:val="subscript"/>
                      <w:lang w:val="en-US" w:eastAsia="zh-CN"/>
                    </w:rPr>
                    <w:t>3</w:t>
                  </w:r>
                  <w:r>
                    <w:rPr>
                      <w:rFonts w:hint="eastAsia"/>
                      <w:b w:val="0"/>
                      <w:bCs w:val="0"/>
                      <w:iCs/>
                      <w:color w:val="auto"/>
                      <w:kern w:val="0"/>
                      <w:szCs w:val="21"/>
                      <w:lang w:val="en-US" w:eastAsia="zh-CN"/>
                    </w:rPr>
                    <w:t>-N石油类</w:t>
                  </w:r>
                </w:p>
              </w:tc>
              <w:tc>
                <w:tcPr>
                  <w:tcW w:w="782" w:type="dxa"/>
                  <w:vAlign w:val="center"/>
                </w:tcPr>
                <w:p>
                  <w:pPr>
                    <w:autoSpaceDE w:val="0"/>
                    <w:autoSpaceDN w:val="0"/>
                    <w:adjustRightInd w:val="0"/>
                    <w:jc w:val="center"/>
                    <w:rPr>
                      <w:rFonts w:hint="default" w:ascii="Times New Roman" w:hAnsi="Times New Roman" w:eastAsia="宋体" w:cs="Times New Roman"/>
                      <w:b w:val="0"/>
                      <w:bCs w:val="0"/>
                      <w:iCs/>
                      <w:color w:val="auto"/>
                      <w:kern w:val="0"/>
                      <w:sz w:val="21"/>
                      <w:szCs w:val="21"/>
                      <w:lang w:val="en-US" w:eastAsia="zh-CN" w:bidi="ar-SA"/>
                    </w:rPr>
                  </w:pPr>
                  <w:r>
                    <w:rPr>
                      <w:rFonts w:hint="eastAsia"/>
                      <w:b w:val="0"/>
                      <w:bCs w:val="0"/>
                      <w:iCs/>
                      <w:color w:val="auto"/>
                      <w:kern w:val="0"/>
                      <w:szCs w:val="21"/>
                      <w:lang w:val="en-US" w:eastAsia="zh-CN"/>
                    </w:rPr>
                    <w:t>mg/L</w:t>
                  </w:r>
                </w:p>
              </w:tc>
              <w:tc>
                <w:tcPr>
                  <w:tcW w:w="2598" w:type="dxa"/>
                  <w:vAlign w:val="center"/>
                </w:tcPr>
                <w:p>
                  <w:pPr>
                    <w:autoSpaceDE w:val="0"/>
                    <w:autoSpaceDN w:val="0"/>
                    <w:adjustRightInd w:val="0"/>
                    <w:jc w:val="center"/>
                    <w:rPr>
                      <w:rFonts w:hint="eastAsia" w:ascii="Times New Roman" w:hAnsi="Times New Roman" w:eastAsia="宋体" w:cs="Times New Roman"/>
                      <w:b w:val="0"/>
                      <w:bCs w:val="0"/>
                      <w:iCs/>
                      <w:color w:val="auto"/>
                      <w:kern w:val="0"/>
                      <w:sz w:val="21"/>
                      <w:szCs w:val="21"/>
                      <w:lang w:val="en-US" w:eastAsia="zh-CN" w:bidi="ar-SA"/>
                    </w:rPr>
                  </w:pPr>
                  <w:r>
                    <w:rPr>
                      <w:rFonts w:hint="eastAsia"/>
                      <w:b w:val="0"/>
                      <w:bCs w:val="0"/>
                      <w:iCs/>
                      <w:color w:val="auto"/>
                      <w:kern w:val="0"/>
                      <w:szCs w:val="21"/>
                      <w:lang w:val="en-US" w:eastAsia="zh-CN"/>
                    </w:rPr>
                    <w:t>pH、COD、BOD</w:t>
                  </w:r>
                  <w:r>
                    <w:rPr>
                      <w:rFonts w:hint="eastAsia"/>
                      <w:b w:val="0"/>
                      <w:bCs w:val="0"/>
                      <w:iCs/>
                      <w:color w:val="auto"/>
                      <w:kern w:val="0"/>
                      <w:szCs w:val="21"/>
                      <w:vertAlign w:val="subscript"/>
                      <w:lang w:val="en-US" w:eastAsia="zh-CN"/>
                    </w:rPr>
                    <w:t>5</w:t>
                  </w:r>
                  <w:r>
                    <w:rPr>
                      <w:rFonts w:hint="eastAsia"/>
                      <w:b w:val="0"/>
                      <w:bCs w:val="0"/>
                      <w:iCs/>
                      <w:color w:val="auto"/>
                      <w:kern w:val="0"/>
                      <w:szCs w:val="21"/>
                      <w:lang w:val="en-US" w:eastAsia="zh-CN"/>
                    </w:rPr>
                    <w:t>、NH</w:t>
                  </w:r>
                  <w:r>
                    <w:rPr>
                      <w:rFonts w:hint="eastAsia"/>
                      <w:b w:val="0"/>
                      <w:bCs w:val="0"/>
                      <w:iCs/>
                      <w:color w:val="auto"/>
                      <w:kern w:val="0"/>
                      <w:szCs w:val="21"/>
                      <w:vertAlign w:val="subscript"/>
                      <w:lang w:val="en-US" w:eastAsia="zh-CN"/>
                    </w:rPr>
                    <w:t>3</w:t>
                  </w:r>
                  <w:r>
                    <w:rPr>
                      <w:rFonts w:hint="eastAsia"/>
                      <w:b w:val="0"/>
                      <w:bCs w:val="0"/>
                      <w:iCs/>
                      <w:color w:val="auto"/>
                      <w:kern w:val="0"/>
                      <w:szCs w:val="21"/>
                      <w:lang w:val="en-US" w:eastAsia="zh-CN"/>
                    </w:rPr>
                    <w:t>-N石油类</w:t>
                  </w:r>
                </w:p>
              </w:tc>
              <w:tc>
                <w:tcPr>
                  <w:tcW w:w="1066" w:type="dxa"/>
                  <w:vAlign w:val="center"/>
                </w:tcPr>
                <w:p>
                  <w:pPr>
                    <w:autoSpaceDE w:val="0"/>
                    <w:autoSpaceDN w:val="0"/>
                    <w:adjustRightInd w:val="0"/>
                    <w:jc w:val="center"/>
                    <w:rPr>
                      <w:rFonts w:hint="default" w:ascii="Times New Roman" w:hAnsi="Times New Roman" w:eastAsia="宋体" w:cs="Times New Roman"/>
                      <w:b w:val="0"/>
                      <w:bCs w:val="0"/>
                      <w:iCs/>
                      <w:color w:val="auto"/>
                      <w:kern w:val="0"/>
                      <w:sz w:val="21"/>
                      <w:szCs w:val="21"/>
                      <w:lang w:val="en-US" w:eastAsia="zh-CN" w:bidi="ar-SA"/>
                    </w:rPr>
                  </w:pPr>
                  <w:r>
                    <w:rPr>
                      <w:rFonts w:hint="eastAsia"/>
                      <w:b w:val="0"/>
                      <w:bCs w:val="0"/>
                      <w:iCs/>
                      <w:color w:val="auto"/>
                      <w:kern w:val="0"/>
                      <w:szCs w:val="21"/>
                      <w:lang w:val="en-US" w:eastAsia="zh-CN"/>
                    </w:rPr>
                    <w:t>mg/L</w:t>
                  </w:r>
                </w:p>
              </w:tc>
            </w:tr>
          </w:tbl>
          <w:p>
            <w:pPr>
              <w:spacing w:line="360" w:lineRule="auto"/>
              <w:outlineLvl w:val="1"/>
              <w:rPr>
                <w:b/>
                <w:color w:val="auto"/>
                <w:sz w:val="28"/>
                <w:szCs w:val="28"/>
              </w:rPr>
            </w:pPr>
            <w:r>
              <w:rPr>
                <w:b/>
                <w:color w:val="auto"/>
                <w:sz w:val="28"/>
                <w:szCs w:val="28"/>
              </w:rPr>
              <w:t xml:space="preserve">1.5 </w:t>
            </w:r>
            <w:r>
              <w:rPr>
                <w:rFonts w:hint="eastAsia"/>
                <w:b/>
                <w:color w:val="auto"/>
                <w:sz w:val="28"/>
                <w:szCs w:val="28"/>
              </w:rPr>
              <w:t>评价等级及范围</w:t>
            </w:r>
          </w:p>
          <w:p>
            <w:pPr>
              <w:spacing w:line="360" w:lineRule="auto"/>
              <w:rPr>
                <w:b/>
                <w:bCs/>
                <w:iCs/>
                <w:color w:val="auto"/>
                <w:sz w:val="24"/>
              </w:rPr>
            </w:pPr>
            <w:r>
              <w:rPr>
                <w:b/>
                <w:bCs/>
                <w:iCs/>
                <w:color w:val="auto"/>
                <w:sz w:val="24"/>
              </w:rPr>
              <w:t>1.5.2</w:t>
            </w:r>
            <w:r>
              <w:rPr>
                <w:rFonts w:hint="eastAsia"/>
                <w:b/>
                <w:bCs/>
                <w:iCs/>
                <w:color w:val="auto"/>
                <w:sz w:val="24"/>
              </w:rPr>
              <w:t>评价等级</w:t>
            </w:r>
          </w:p>
          <w:p>
            <w:pPr>
              <w:spacing w:line="360" w:lineRule="auto"/>
              <w:ind w:firstLine="566" w:firstLineChars="236"/>
              <w:rPr>
                <w:color w:val="auto"/>
                <w:sz w:val="24"/>
                <w:szCs w:val="24"/>
              </w:rPr>
            </w:pPr>
            <w:r>
              <w:rPr>
                <w:rFonts w:hint="eastAsia"/>
                <w:color w:val="auto"/>
                <w:sz w:val="24"/>
                <w:szCs w:val="24"/>
              </w:rPr>
              <w:t>本次评价工作等级判定如下：</w:t>
            </w:r>
          </w:p>
          <w:p>
            <w:pPr>
              <w:spacing w:line="360" w:lineRule="auto"/>
              <w:ind w:firstLine="566"/>
              <w:rPr>
                <w:color w:val="auto"/>
                <w:sz w:val="24"/>
                <w:szCs w:val="24"/>
              </w:rPr>
            </w:pPr>
            <w:r>
              <w:rPr>
                <w:rFonts w:hint="eastAsia"/>
                <w:color w:val="auto"/>
                <w:sz w:val="24"/>
                <w:szCs w:val="24"/>
              </w:rPr>
              <w:t>①电磁环境评价工作等级：根据《环境影响评价技术导则</w:t>
            </w:r>
            <w:r>
              <w:rPr>
                <w:color w:val="auto"/>
                <w:sz w:val="24"/>
                <w:szCs w:val="24"/>
              </w:rPr>
              <w:t>-</w:t>
            </w:r>
            <w:r>
              <w:rPr>
                <w:rFonts w:hint="eastAsia"/>
                <w:color w:val="auto"/>
                <w:sz w:val="24"/>
                <w:szCs w:val="24"/>
              </w:rPr>
              <w:t>输变电工程》（</w:t>
            </w:r>
            <w:r>
              <w:rPr>
                <w:rFonts w:hint="eastAsia"/>
                <w:color w:val="auto"/>
                <w:sz w:val="24"/>
                <w:szCs w:val="24"/>
                <w:lang w:eastAsia="zh-CN"/>
              </w:rPr>
              <w:t>HJ24-2020</w:t>
            </w:r>
            <w:r>
              <w:rPr>
                <w:rFonts w:hint="eastAsia"/>
                <w:color w:val="auto"/>
                <w:sz w:val="24"/>
                <w:szCs w:val="24"/>
              </w:rPr>
              <w:t>），本工程变电站为户内站，输电线路边导线地面投影外两侧各</w:t>
            </w:r>
            <w:r>
              <w:rPr>
                <w:color w:val="auto"/>
                <w:sz w:val="24"/>
                <w:szCs w:val="24"/>
              </w:rPr>
              <w:t>10m</w:t>
            </w:r>
            <w:r>
              <w:rPr>
                <w:rFonts w:hint="eastAsia"/>
                <w:color w:val="auto"/>
                <w:sz w:val="24"/>
                <w:szCs w:val="24"/>
              </w:rPr>
              <w:t>范围内无电磁环境敏感目标，电磁环评影响评价等级为三级，具体依据见表</w:t>
            </w:r>
            <w:r>
              <w:rPr>
                <w:color w:val="auto"/>
                <w:sz w:val="24"/>
                <w:szCs w:val="24"/>
              </w:rPr>
              <w:t>1-8</w:t>
            </w:r>
            <w:r>
              <w:rPr>
                <w:rFonts w:hint="eastAsia"/>
                <w:color w:val="auto"/>
                <w:sz w:val="24"/>
                <w:szCs w:val="24"/>
              </w:rPr>
              <w:t>。</w:t>
            </w:r>
          </w:p>
          <w:p>
            <w:pPr>
              <w:snapToGrid w:val="0"/>
              <w:ind w:firstLine="540"/>
              <w:jc w:val="center"/>
              <w:rPr>
                <w:b/>
                <w:color w:val="auto"/>
                <w:szCs w:val="21"/>
              </w:rPr>
            </w:pPr>
            <w:bookmarkStart w:id="11" w:name="_Ref35434800"/>
            <w:r>
              <w:rPr>
                <w:rFonts w:hint="eastAsia" w:eastAsiaTheme="minorEastAsia"/>
                <w:b/>
                <w:color w:val="auto"/>
                <w:szCs w:val="21"/>
              </w:rPr>
              <w:t>表</w:t>
            </w:r>
            <w:bookmarkEnd w:id="11"/>
            <w:r>
              <w:rPr>
                <w:rFonts w:eastAsiaTheme="minorEastAsia"/>
                <w:b/>
                <w:color w:val="auto"/>
                <w:szCs w:val="21"/>
              </w:rPr>
              <w:t xml:space="preserve">1-8   </w:t>
            </w:r>
            <w:r>
              <w:rPr>
                <w:rFonts w:hint="eastAsia"/>
                <w:b/>
                <w:color w:val="auto"/>
                <w:szCs w:val="21"/>
              </w:rPr>
              <w:t>本项目电磁环境影响评价工作等级</w:t>
            </w:r>
          </w:p>
          <w:tbl>
            <w:tblPr>
              <w:tblStyle w:val="86"/>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1292"/>
              <w:gridCol w:w="1288"/>
              <w:gridCol w:w="3997"/>
              <w:gridCol w:w="14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04" w:type="pct"/>
                  <w:vAlign w:val="center"/>
                </w:tcPr>
                <w:p>
                  <w:pPr>
                    <w:autoSpaceDE w:val="0"/>
                    <w:autoSpaceDN w:val="0"/>
                    <w:adjustRightInd w:val="0"/>
                    <w:jc w:val="center"/>
                    <w:rPr>
                      <w:b/>
                      <w:bCs/>
                      <w:iCs/>
                      <w:color w:val="auto"/>
                      <w:kern w:val="0"/>
                      <w:szCs w:val="21"/>
                    </w:rPr>
                  </w:pPr>
                  <w:r>
                    <w:rPr>
                      <w:rFonts w:hint="eastAsia"/>
                      <w:b/>
                      <w:bCs/>
                      <w:iCs/>
                      <w:color w:val="auto"/>
                      <w:kern w:val="0"/>
                      <w:szCs w:val="21"/>
                    </w:rPr>
                    <w:t>分类</w:t>
                  </w:r>
                </w:p>
              </w:tc>
              <w:tc>
                <w:tcPr>
                  <w:tcW w:w="709" w:type="pct"/>
                  <w:vAlign w:val="center"/>
                </w:tcPr>
                <w:p>
                  <w:pPr>
                    <w:autoSpaceDE w:val="0"/>
                    <w:autoSpaceDN w:val="0"/>
                    <w:adjustRightInd w:val="0"/>
                    <w:jc w:val="center"/>
                    <w:rPr>
                      <w:b/>
                      <w:bCs/>
                      <w:iCs/>
                      <w:color w:val="auto"/>
                      <w:kern w:val="0"/>
                      <w:szCs w:val="21"/>
                    </w:rPr>
                  </w:pPr>
                  <w:r>
                    <w:rPr>
                      <w:rFonts w:hint="eastAsia"/>
                      <w:b/>
                      <w:bCs/>
                      <w:iCs/>
                      <w:color w:val="auto"/>
                      <w:kern w:val="0"/>
                      <w:szCs w:val="21"/>
                    </w:rPr>
                    <w:t>电压等级</w:t>
                  </w:r>
                </w:p>
              </w:tc>
              <w:tc>
                <w:tcPr>
                  <w:tcW w:w="707" w:type="pct"/>
                  <w:vAlign w:val="center"/>
                </w:tcPr>
                <w:p>
                  <w:pPr>
                    <w:autoSpaceDE w:val="0"/>
                    <w:autoSpaceDN w:val="0"/>
                    <w:adjustRightInd w:val="0"/>
                    <w:jc w:val="center"/>
                    <w:rPr>
                      <w:b/>
                      <w:bCs/>
                      <w:iCs/>
                      <w:color w:val="auto"/>
                      <w:kern w:val="0"/>
                      <w:szCs w:val="21"/>
                    </w:rPr>
                  </w:pPr>
                  <w:r>
                    <w:rPr>
                      <w:rFonts w:hint="eastAsia"/>
                      <w:b/>
                      <w:bCs/>
                      <w:iCs/>
                      <w:color w:val="auto"/>
                      <w:kern w:val="0"/>
                      <w:szCs w:val="21"/>
                    </w:rPr>
                    <w:t>工程</w:t>
                  </w:r>
                </w:p>
              </w:tc>
              <w:tc>
                <w:tcPr>
                  <w:tcW w:w="2193" w:type="pct"/>
                  <w:vAlign w:val="center"/>
                </w:tcPr>
                <w:p>
                  <w:pPr>
                    <w:autoSpaceDE w:val="0"/>
                    <w:autoSpaceDN w:val="0"/>
                    <w:adjustRightInd w:val="0"/>
                    <w:jc w:val="center"/>
                    <w:rPr>
                      <w:b/>
                      <w:bCs/>
                      <w:iCs/>
                      <w:color w:val="auto"/>
                      <w:kern w:val="0"/>
                      <w:szCs w:val="21"/>
                    </w:rPr>
                  </w:pPr>
                  <w:r>
                    <w:rPr>
                      <w:rFonts w:hint="eastAsia"/>
                      <w:b/>
                      <w:bCs/>
                      <w:iCs/>
                      <w:color w:val="auto"/>
                      <w:kern w:val="0"/>
                      <w:szCs w:val="21"/>
                    </w:rPr>
                    <w:t>条件</w:t>
                  </w:r>
                </w:p>
              </w:tc>
              <w:tc>
                <w:tcPr>
                  <w:tcW w:w="788" w:type="pct"/>
                  <w:vAlign w:val="center"/>
                </w:tcPr>
                <w:p>
                  <w:pPr>
                    <w:autoSpaceDE w:val="0"/>
                    <w:autoSpaceDN w:val="0"/>
                    <w:adjustRightInd w:val="0"/>
                    <w:jc w:val="center"/>
                    <w:rPr>
                      <w:b/>
                      <w:bCs/>
                      <w:iCs/>
                      <w:color w:val="auto"/>
                      <w:kern w:val="0"/>
                      <w:szCs w:val="21"/>
                    </w:rPr>
                  </w:pPr>
                  <w:r>
                    <w:rPr>
                      <w:rFonts w:hint="eastAsia"/>
                      <w:b/>
                      <w:bCs/>
                      <w:iCs/>
                      <w:color w:val="auto"/>
                      <w:kern w:val="0"/>
                      <w:szCs w:val="21"/>
                    </w:rPr>
                    <w:t>评价等级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04" w:type="pct"/>
                  <w:vMerge w:val="restart"/>
                  <w:vAlign w:val="center"/>
                </w:tcPr>
                <w:p>
                  <w:pPr>
                    <w:autoSpaceDE w:val="0"/>
                    <w:autoSpaceDN w:val="0"/>
                    <w:adjustRightInd w:val="0"/>
                    <w:jc w:val="center"/>
                    <w:rPr>
                      <w:b/>
                      <w:bCs/>
                      <w:iCs/>
                      <w:color w:val="auto"/>
                      <w:kern w:val="0"/>
                      <w:szCs w:val="21"/>
                    </w:rPr>
                  </w:pPr>
                  <w:r>
                    <w:rPr>
                      <w:rFonts w:hint="eastAsia"/>
                      <w:iCs/>
                      <w:color w:val="auto"/>
                      <w:kern w:val="0"/>
                      <w:szCs w:val="21"/>
                    </w:rPr>
                    <w:t>交流</w:t>
                  </w:r>
                </w:p>
              </w:tc>
              <w:tc>
                <w:tcPr>
                  <w:tcW w:w="709" w:type="pct"/>
                  <w:vMerge w:val="restart"/>
                  <w:vAlign w:val="center"/>
                </w:tcPr>
                <w:p>
                  <w:pPr>
                    <w:autoSpaceDE w:val="0"/>
                    <w:autoSpaceDN w:val="0"/>
                    <w:adjustRightInd w:val="0"/>
                    <w:jc w:val="center"/>
                    <w:rPr>
                      <w:b/>
                      <w:bCs/>
                      <w:iCs/>
                      <w:color w:val="auto"/>
                      <w:kern w:val="0"/>
                      <w:szCs w:val="21"/>
                    </w:rPr>
                  </w:pPr>
                  <w:r>
                    <w:rPr>
                      <w:iCs/>
                      <w:color w:val="auto"/>
                      <w:szCs w:val="21"/>
                    </w:rPr>
                    <w:t>110kV</w:t>
                  </w:r>
                </w:p>
              </w:tc>
              <w:tc>
                <w:tcPr>
                  <w:tcW w:w="707" w:type="pct"/>
                  <w:vAlign w:val="center"/>
                </w:tcPr>
                <w:p>
                  <w:pPr>
                    <w:autoSpaceDE w:val="0"/>
                    <w:autoSpaceDN w:val="0"/>
                    <w:adjustRightInd w:val="0"/>
                    <w:jc w:val="center"/>
                    <w:rPr>
                      <w:iCs/>
                      <w:color w:val="auto"/>
                      <w:kern w:val="0"/>
                      <w:szCs w:val="21"/>
                    </w:rPr>
                  </w:pPr>
                  <w:r>
                    <w:rPr>
                      <w:rFonts w:hint="eastAsia"/>
                      <w:iCs/>
                      <w:color w:val="auto"/>
                      <w:kern w:val="0"/>
                      <w:szCs w:val="21"/>
                    </w:rPr>
                    <w:t>变电站</w:t>
                  </w:r>
                </w:p>
              </w:tc>
              <w:tc>
                <w:tcPr>
                  <w:tcW w:w="2193" w:type="pct"/>
                  <w:vAlign w:val="center"/>
                </w:tcPr>
                <w:p>
                  <w:pPr>
                    <w:autoSpaceDE w:val="0"/>
                    <w:autoSpaceDN w:val="0"/>
                    <w:adjustRightInd w:val="0"/>
                    <w:jc w:val="center"/>
                    <w:rPr>
                      <w:iCs/>
                      <w:color w:val="auto"/>
                      <w:kern w:val="0"/>
                      <w:szCs w:val="21"/>
                    </w:rPr>
                  </w:pPr>
                  <w:r>
                    <w:rPr>
                      <w:rFonts w:hint="eastAsia"/>
                      <w:iCs/>
                      <w:color w:val="auto"/>
                      <w:kern w:val="0"/>
                      <w:szCs w:val="21"/>
                    </w:rPr>
                    <w:t>户内式</w:t>
                  </w:r>
                </w:p>
              </w:tc>
              <w:tc>
                <w:tcPr>
                  <w:tcW w:w="788" w:type="pct"/>
                  <w:vAlign w:val="center"/>
                </w:tcPr>
                <w:p>
                  <w:pPr>
                    <w:autoSpaceDE w:val="0"/>
                    <w:autoSpaceDN w:val="0"/>
                    <w:adjustRightInd w:val="0"/>
                    <w:jc w:val="center"/>
                    <w:rPr>
                      <w:iCs/>
                      <w:color w:val="auto"/>
                      <w:kern w:val="0"/>
                      <w:szCs w:val="21"/>
                    </w:rPr>
                  </w:pPr>
                  <w:r>
                    <w:rPr>
                      <w:rFonts w:hint="eastAsia"/>
                      <w:iCs/>
                      <w:color w:val="auto"/>
                      <w:kern w:val="0"/>
                      <w:szCs w:val="21"/>
                    </w:rPr>
                    <w:t>三级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04" w:type="pct"/>
                  <w:vMerge w:val="continue"/>
                  <w:vAlign w:val="center"/>
                </w:tcPr>
                <w:p>
                  <w:pPr>
                    <w:autoSpaceDE w:val="0"/>
                    <w:autoSpaceDN w:val="0"/>
                    <w:adjustRightInd w:val="0"/>
                    <w:jc w:val="center"/>
                    <w:rPr>
                      <w:iCs/>
                      <w:color w:val="auto"/>
                      <w:kern w:val="0"/>
                      <w:szCs w:val="21"/>
                    </w:rPr>
                  </w:pPr>
                </w:p>
              </w:tc>
              <w:tc>
                <w:tcPr>
                  <w:tcW w:w="709" w:type="pct"/>
                  <w:vMerge w:val="continue"/>
                  <w:vAlign w:val="center"/>
                </w:tcPr>
                <w:p>
                  <w:pPr>
                    <w:autoSpaceDE w:val="0"/>
                    <w:autoSpaceDN w:val="0"/>
                    <w:adjustRightInd w:val="0"/>
                    <w:jc w:val="center"/>
                    <w:rPr>
                      <w:iCs/>
                      <w:color w:val="auto"/>
                      <w:szCs w:val="21"/>
                    </w:rPr>
                  </w:pPr>
                </w:p>
              </w:tc>
              <w:tc>
                <w:tcPr>
                  <w:tcW w:w="707" w:type="pct"/>
                  <w:vAlign w:val="center"/>
                </w:tcPr>
                <w:p>
                  <w:pPr>
                    <w:autoSpaceDE w:val="0"/>
                    <w:autoSpaceDN w:val="0"/>
                    <w:adjustRightInd w:val="0"/>
                    <w:jc w:val="center"/>
                    <w:rPr>
                      <w:iCs/>
                      <w:color w:val="auto"/>
                      <w:kern w:val="0"/>
                      <w:szCs w:val="21"/>
                    </w:rPr>
                  </w:pPr>
                  <w:r>
                    <w:rPr>
                      <w:rFonts w:hint="eastAsia"/>
                      <w:iCs/>
                      <w:color w:val="auto"/>
                      <w:kern w:val="0"/>
                      <w:szCs w:val="21"/>
                    </w:rPr>
                    <w:t>输电线路</w:t>
                  </w:r>
                </w:p>
              </w:tc>
              <w:tc>
                <w:tcPr>
                  <w:tcW w:w="2193" w:type="pct"/>
                  <w:vAlign w:val="center"/>
                </w:tcPr>
                <w:p>
                  <w:pPr>
                    <w:autoSpaceDE w:val="0"/>
                    <w:autoSpaceDN w:val="0"/>
                    <w:adjustRightInd w:val="0"/>
                    <w:jc w:val="center"/>
                    <w:rPr>
                      <w:iCs/>
                      <w:color w:val="auto"/>
                      <w:kern w:val="0"/>
                      <w:szCs w:val="21"/>
                    </w:rPr>
                  </w:pPr>
                  <w:r>
                    <w:rPr>
                      <w:rFonts w:hint="eastAsia"/>
                      <w:iCs/>
                      <w:color w:val="auto"/>
                      <w:kern w:val="0"/>
                      <w:szCs w:val="21"/>
                    </w:rPr>
                    <w:t>边导线地面投影外两侧各</w:t>
                  </w:r>
                  <w:r>
                    <w:rPr>
                      <w:iCs/>
                      <w:color w:val="auto"/>
                      <w:kern w:val="0"/>
                      <w:szCs w:val="21"/>
                    </w:rPr>
                    <w:t>10m</w:t>
                  </w:r>
                  <w:r>
                    <w:rPr>
                      <w:rFonts w:hint="eastAsia"/>
                      <w:iCs/>
                      <w:color w:val="auto"/>
                      <w:kern w:val="0"/>
                      <w:szCs w:val="21"/>
                    </w:rPr>
                    <w:t>范围内无电磁环境敏感目标的架空线</w:t>
                  </w:r>
                </w:p>
              </w:tc>
              <w:tc>
                <w:tcPr>
                  <w:tcW w:w="788" w:type="pct"/>
                  <w:vAlign w:val="center"/>
                </w:tcPr>
                <w:p>
                  <w:pPr>
                    <w:autoSpaceDE w:val="0"/>
                    <w:autoSpaceDN w:val="0"/>
                    <w:adjustRightInd w:val="0"/>
                    <w:jc w:val="center"/>
                    <w:rPr>
                      <w:iCs/>
                      <w:color w:val="auto"/>
                      <w:kern w:val="0"/>
                      <w:szCs w:val="21"/>
                    </w:rPr>
                  </w:pPr>
                  <w:r>
                    <w:rPr>
                      <w:rFonts w:hint="eastAsia"/>
                      <w:iCs/>
                      <w:color w:val="auto"/>
                      <w:kern w:val="0"/>
                      <w:szCs w:val="21"/>
                    </w:rPr>
                    <w:t>三级</w:t>
                  </w:r>
                </w:p>
              </w:tc>
            </w:tr>
          </w:tbl>
          <w:p>
            <w:pPr>
              <w:spacing w:line="360" w:lineRule="auto"/>
              <w:ind w:firstLine="566" w:firstLineChars="236"/>
              <w:rPr>
                <w:color w:val="auto"/>
                <w:sz w:val="24"/>
                <w:szCs w:val="24"/>
              </w:rPr>
            </w:pPr>
            <w:r>
              <w:rPr>
                <w:rFonts w:hint="eastAsia"/>
                <w:color w:val="auto"/>
                <w:sz w:val="24"/>
                <w:szCs w:val="24"/>
              </w:rPr>
              <w:t>②声环境评价工作等级：根据《环境影响评价技术导则</w:t>
            </w:r>
            <w:r>
              <w:rPr>
                <w:color w:val="auto"/>
                <w:sz w:val="24"/>
                <w:szCs w:val="24"/>
              </w:rPr>
              <w:t>-</w:t>
            </w:r>
            <w:r>
              <w:rPr>
                <w:rFonts w:hint="eastAsia"/>
                <w:color w:val="auto"/>
                <w:sz w:val="24"/>
                <w:szCs w:val="24"/>
              </w:rPr>
              <w:t>声环境》（</w:t>
            </w:r>
            <w:r>
              <w:rPr>
                <w:color w:val="auto"/>
                <w:sz w:val="24"/>
                <w:szCs w:val="24"/>
              </w:rPr>
              <w:t>HJ2.4-2009</w:t>
            </w:r>
            <w:r>
              <w:rPr>
                <w:rFonts w:hint="eastAsia"/>
                <w:color w:val="auto"/>
                <w:sz w:val="24"/>
                <w:szCs w:val="24"/>
              </w:rPr>
              <w:t>），本工程所处的声环境功能区主要为《声环境质量标准》</w:t>
            </w:r>
            <w:r>
              <w:rPr>
                <w:color w:val="auto"/>
                <w:sz w:val="24"/>
                <w:szCs w:val="24"/>
              </w:rPr>
              <w:t>(GB3096-2008)</w:t>
            </w:r>
            <w:r>
              <w:rPr>
                <w:rFonts w:hint="eastAsia"/>
                <w:color w:val="auto"/>
                <w:sz w:val="24"/>
                <w:szCs w:val="24"/>
              </w:rPr>
              <w:t>规定的</w:t>
            </w:r>
            <w:r>
              <w:rPr>
                <w:color w:val="auto"/>
                <w:sz w:val="24"/>
                <w:szCs w:val="24"/>
              </w:rPr>
              <w:t>2</w:t>
            </w:r>
            <w:r>
              <w:rPr>
                <w:rFonts w:hint="eastAsia"/>
                <w:color w:val="auto"/>
                <w:sz w:val="24"/>
                <w:szCs w:val="24"/>
              </w:rPr>
              <w:t>类区，项目建设前后环境保护目标处的噪声级增加量不大于</w:t>
            </w:r>
            <w:r>
              <w:rPr>
                <w:color w:val="auto"/>
                <w:sz w:val="24"/>
                <w:szCs w:val="24"/>
              </w:rPr>
              <w:t>5dB(A)</w:t>
            </w:r>
            <w:r>
              <w:rPr>
                <w:rFonts w:hint="eastAsia"/>
                <w:color w:val="auto"/>
                <w:sz w:val="24"/>
                <w:szCs w:val="24"/>
              </w:rPr>
              <w:t>，受噪声影响的人口数量变化不大，故本次的声环境影响评价等级为二级。</w:t>
            </w:r>
          </w:p>
          <w:p>
            <w:pPr>
              <w:spacing w:line="360" w:lineRule="auto"/>
              <w:ind w:firstLine="566" w:firstLineChars="236"/>
              <w:rPr>
                <w:color w:val="auto"/>
                <w:sz w:val="24"/>
                <w:szCs w:val="24"/>
              </w:rPr>
            </w:pPr>
            <w:r>
              <w:rPr>
                <w:rFonts w:hint="eastAsia"/>
                <w:color w:val="auto"/>
                <w:sz w:val="24"/>
                <w:szCs w:val="24"/>
              </w:rPr>
              <w:t>③生态影响评价工作等级：本项目所在区域为一般区域，不经过特殊或重要生态敏感区，本工程占地面积小于</w:t>
            </w:r>
            <w:r>
              <w:rPr>
                <w:color w:val="auto"/>
                <w:sz w:val="24"/>
                <w:szCs w:val="24"/>
              </w:rPr>
              <w:t>2km</w:t>
            </w:r>
            <w:r>
              <w:rPr>
                <w:color w:val="auto"/>
                <w:sz w:val="24"/>
                <w:szCs w:val="24"/>
                <w:vertAlign w:val="superscript"/>
              </w:rPr>
              <w:t>2</w:t>
            </w:r>
            <w:r>
              <w:rPr>
                <w:rFonts w:hint="eastAsia"/>
                <w:color w:val="auto"/>
                <w:sz w:val="24"/>
                <w:szCs w:val="24"/>
              </w:rPr>
              <w:t>，线路路径长度远小于</w:t>
            </w:r>
            <w:r>
              <w:rPr>
                <w:color w:val="auto"/>
                <w:sz w:val="24"/>
                <w:szCs w:val="24"/>
              </w:rPr>
              <w:t>50km</w:t>
            </w:r>
            <w:r>
              <w:rPr>
                <w:rFonts w:hint="eastAsia"/>
                <w:color w:val="auto"/>
                <w:sz w:val="24"/>
                <w:szCs w:val="24"/>
              </w:rPr>
              <w:t>，且对周围的生态影响较小，根据《环境影响评价技术导则</w:t>
            </w:r>
            <w:r>
              <w:rPr>
                <w:color w:val="auto"/>
                <w:sz w:val="24"/>
                <w:szCs w:val="24"/>
              </w:rPr>
              <w:t>-</w:t>
            </w:r>
            <w:r>
              <w:rPr>
                <w:rFonts w:hint="eastAsia"/>
                <w:color w:val="auto"/>
                <w:sz w:val="24"/>
                <w:szCs w:val="24"/>
              </w:rPr>
              <w:t>生态影响》（</w:t>
            </w:r>
            <w:r>
              <w:rPr>
                <w:color w:val="auto"/>
                <w:sz w:val="24"/>
                <w:szCs w:val="24"/>
              </w:rPr>
              <w:t>HJ19-2011</w:t>
            </w:r>
            <w:r>
              <w:rPr>
                <w:rFonts w:hint="eastAsia"/>
                <w:color w:val="auto"/>
                <w:sz w:val="24"/>
                <w:szCs w:val="24"/>
              </w:rPr>
              <w:t>）中评价工作分级标准，确定生态影响评价工作等级为三级。</w:t>
            </w:r>
          </w:p>
          <w:p>
            <w:pPr>
              <w:spacing w:line="360" w:lineRule="auto"/>
              <w:ind w:firstLine="566" w:firstLineChars="236"/>
              <w:rPr>
                <w:color w:val="auto"/>
                <w:sz w:val="24"/>
                <w:szCs w:val="24"/>
              </w:rPr>
            </w:pPr>
            <w:r>
              <w:rPr>
                <w:rFonts w:hint="eastAsia"/>
                <w:color w:val="auto"/>
                <w:sz w:val="24"/>
                <w:szCs w:val="24"/>
              </w:rPr>
              <w:t>④水环境：本工程变电站生活污水经处理后用作场地内绿化，不外排，根据《环境影响评价技术导则</w:t>
            </w:r>
            <w:r>
              <w:rPr>
                <w:color w:val="auto"/>
                <w:sz w:val="24"/>
                <w:szCs w:val="24"/>
              </w:rPr>
              <w:t>-</w:t>
            </w:r>
            <w:r>
              <w:rPr>
                <w:rFonts w:hint="eastAsia"/>
                <w:color w:val="auto"/>
                <w:sz w:val="24"/>
                <w:szCs w:val="24"/>
              </w:rPr>
              <w:t>地表水环境》（</w:t>
            </w:r>
            <w:r>
              <w:rPr>
                <w:color w:val="auto"/>
                <w:sz w:val="24"/>
                <w:szCs w:val="24"/>
              </w:rPr>
              <w:t>HJ 2.3-2018</w:t>
            </w:r>
            <w:r>
              <w:rPr>
                <w:rFonts w:hint="eastAsia"/>
                <w:color w:val="auto"/>
                <w:sz w:val="24"/>
                <w:szCs w:val="24"/>
              </w:rPr>
              <w:t>）的相关规定</w:t>
            </w:r>
            <w:r>
              <w:rPr>
                <w:rFonts w:hint="eastAsia"/>
                <w:color w:val="auto"/>
                <w:sz w:val="24"/>
                <w:szCs w:val="24"/>
                <w:lang w:eastAsia="zh-CN"/>
              </w:rPr>
              <w:t>，</w:t>
            </w:r>
            <w:r>
              <w:rPr>
                <w:rFonts w:hint="eastAsia"/>
                <w:color w:val="auto"/>
                <w:sz w:val="24"/>
                <w:szCs w:val="24"/>
              </w:rPr>
              <w:t>本工程水环境影响评价工作等级确定为三级</w:t>
            </w:r>
            <w:r>
              <w:rPr>
                <w:color w:val="auto"/>
                <w:sz w:val="24"/>
                <w:szCs w:val="24"/>
              </w:rPr>
              <w:t>B</w:t>
            </w:r>
            <w:r>
              <w:rPr>
                <w:rFonts w:hint="eastAsia"/>
                <w:color w:val="auto"/>
                <w:sz w:val="24"/>
                <w:szCs w:val="24"/>
              </w:rPr>
              <w:t>。</w:t>
            </w:r>
          </w:p>
          <w:p>
            <w:pPr>
              <w:spacing w:line="360" w:lineRule="auto"/>
              <w:rPr>
                <w:b/>
                <w:bCs/>
                <w:iCs/>
                <w:color w:val="auto"/>
                <w:sz w:val="24"/>
              </w:rPr>
            </w:pPr>
            <w:r>
              <w:rPr>
                <w:b/>
                <w:bCs/>
                <w:iCs/>
                <w:color w:val="auto"/>
                <w:sz w:val="24"/>
              </w:rPr>
              <w:t>1.5.2</w:t>
            </w:r>
            <w:r>
              <w:rPr>
                <w:rFonts w:hint="eastAsia"/>
                <w:b/>
                <w:bCs/>
                <w:iCs/>
                <w:color w:val="auto"/>
                <w:sz w:val="24"/>
              </w:rPr>
              <w:t>评价范围</w:t>
            </w:r>
          </w:p>
          <w:p>
            <w:pPr>
              <w:adjustRightInd w:val="0"/>
              <w:snapToGrid w:val="0"/>
              <w:spacing w:line="360" w:lineRule="auto"/>
              <w:ind w:firstLine="480" w:firstLineChars="200"/>
              <w:rPr>
                <w:iCs/>
                <w:color w:val="auto"/>
                <w:sz w:val="24"/>
              </w:rPr>
            </w:pPr>
            <w:r>
              <w:rPr>
                <w:rFonts w:hint="eastAsia"/>
                <w:iCs/>
                <w:color w:val="auto"/>
                <w:sz w:val="24"/>
              </w:rPr>
              <w:t>根据《环境影响评价技术导则</w:t>
            </w:r>
            <w:r>
              <w:rPr>
                <w:iCs/>
                <w:color w:val="auto"/>
                <w:sz w:val="24"/>
              </w:rPr>
              <w:t>-</w:t>
            </w:r>
            <w:r>
              <w:rPr>
                <w:rFonts w:hint="eastAsia"/>
                <w:iCs/>
                <w:color w:val="auto"/>
                <w:sz w:val="24"/>
              </w:rPr>
              <w:t>输变电工程》（</w:t>
            </w:r>
            <w:r>
              <w:rPr>
                <w:rFonts w:hint="eastAsia"/>
                <w:iCs/>
                <w:color w:val="auto"/>
                <w:sz w:val="24"/>
                <w:lang w:eastAsia="zh-CN"/>
              </w:rPr>
              <w:t>HJ24-2020</w:t>
            </w:r>
            <w:r>
              <w:rPr>
                <w:rFonts w:hint="eastAsia"/>
                <w:iCs/>
                <w:color w:val="auto"/>
                <w:sz w:val="24"/>
              </w:rPr>
              <w:t>）中的相关规定，确定本工程的评价范围如下：</w:t>
            </w:r>
          </w:p>
          <w:p>
            <w:pPr>
              <w:adjustRightInd w:val="0"/>
              <w:snapToGrid w:val="0"/>
              <w:spacing w:line="360" w:lineRule="auto"/>
              <w:ind w:firstLine="482" w:firstLineChars="200"/>
              <w:rPr>
                <w:b/>
                <w:bCs/>
                <w:iCs/>
                <w:color w:val="auto"/>
                <w:sz w:val="24"/>
                <w:szCs w:val="22"/>
              </w:rPr>
            </w:pPr>
            <w:r>
              <w:rPr>
                <w:rFonts w:hint="eastAsia"/>
                <w:b/>
                <w:bCs/>
                <w:iCs/>
                <w:color w:val="auto"/>
                <w:sz w:val="24"/>
                <w:szCs w:val="22"/>
              </w:rPr>
              <w:t>（</w:t>
            </w:r>
            <w:r>
              <w:rPr>
                <w:b/>
                <w:bCs/>
                <w:iCs/>
                <w:color w:val="auto"/>
                <w:sz w:val="24"/>
                <w:szCs w:val="22"/>
              </w:rPr>
              <w:t>1</w:t>
            </w:r>
            <w:r>
              <w:rPr>
                <w:rFonts w:hint="eastAsia"/>
                <w:b/>
                <w:bCs/>
                <w:iCs/>
                <w:color w:val="auto"/>
                <w:sz w:val="24"/>
                <w:szCs w:val="22"/>
              </w:rPr>
              <w:t>）电磁环境（工频电场强度、磁感应强度）</w:t>
            </w:r>
          </w:p>
          <w:p>
            <w:pPr>
              <w:adjustRightInd w:val="0"/>
              <w:snapToGrid w:val="0"/>
              <w:spacing w:line="360" w:lineRule="auto"/>
              <w:ind w:firstLine="480" w:firstLineChars="200"/>
              <w:rPr>
                <w:iCs/>
                <w:color w:val="auto"/>
                <w:sz w:val="24"/>
              </w:rPr>
            </w:pPr>
            <w:r>
              <w:rPr>
                <w:rFonts w:hint="eastAsia"/>
                <w:iCs/>
                <w:color w:val="auto"/>
                <w:sz w:val="24"/>
              </w:rPr>
              <w:t>本工程为</w:t>
            </w:r>
            <w:r>
              <w:rPr>
                <w:iCs/>
                <w:color w:val="auto"/>
                <w:sz w:val="24"/>
              </w:rPr>
              <w:t>110KV</w:t>
            </w:r>
            <w:r>
              <w:rPr>
                <w:rFonts w:hint="eastAsia"/>
                <w:iCs/>
                <w:color w:val="auto"/>
                <w:sz w:val="24"/>
              </w:rPr>
              <w:t>变电站，因此电磁环境评价范围为变电站站界外</w:t>
            </w:r>
            <w:r>
              <w:rPr>
                <w:iCs/>
                <w:color w:val="auto"/>
                <w:sz w:val="24"/>
              </w:rPr>
              <w:t>30m</w:t>
            </w:r>
            <w:r>
              <w:rPr>
                <w:rFonts w:hint="eastAsia"/>
                <w:iCs/>
                <w:color w:val="auto"/>
                <w:sz w:val="24"/>
              </w:rPr>
              <w:t>范围内，架空线路边导线地面投影外侧各</w:t>
            </w:r>
            <w:r>
              <w:rPr>
                <w:iCs/>
                <w:color w:val="auto"/>
                <w:sz w:val="24"/>
              </w:rPr>
              <w:t>30m</w:t>
            </w:r>
            <w:r>
              <w:rPr>
                <w:rFonts w:hint="eastAsia"/>
                <w:iCs/>
                <w:color w:val="auto"/>
                <w:sz w:val="24"/>
              </w:rPr>
              <w:t>。</w:t>
            </w:r>
          </w:p>
          <w:p>
            <w:pPr>
              <w:adjustRightInd w:val="0"/>
              <w:snapToGrid w:val="0"/>
              <w:spacing w:line="360" w:lineRule="auto"/>
              <w:ind w:firstLine="482" w:firstLineChars="200"/>
              <w:rPr>
                <w:b/>
                <w:bCs/>
                <w:iCs/>
                <w:color w:val="auto"/>
                <w:sz w:val="24"/>
                <w:szCs w:val="22"/>
              </w:rPr>
            </w:pPr>
            <w:r>
              <w:rPr>
                <w:rFonts w:hint="eastAsia"/>
                <w:b/>
                <w:bCs/>
                <w:iCs/>
                <w:color w:val="auto"/>
                <w:sz w:val="24"/>
                <w:szCs w:val="22"/>
              </w:rPr>
              <w:t>（</w:t>
            </w:r>
            <w:r>
              <w:rPr>
                <w:b/>
                <w:bCs/>
                <w:iCs/>
                <w:color w:val="auto"/>
                <w:sz w:val="24"/>
                <w:szCs w:val="22"/>
              </w:rPr>
              <w:t>2</w:t>
            </w:r>
            <w:r>
              <w:rPr>
                <w:rFonts w:hint="eastAsia"/>
                <w:b/>
                <w:bCs/>
                <w:iCs/>
                <w:color w:val="auto"/>
                <w:sz w:val="24"/>
                <w:szCs w:val="22"/>
              </w:rPr>
              <w:t>）声环境</w:t>
            </w:r>
          </w:p>
          <w:p>
            <w:pPr>
              <w:adjustRightInd w:val="0"/>
              <w:snapToGrid w:val="0"/>
              <w:spacing w:line="360" w:lineRule="auto"/>
              <w:ind w:firstLine="480" w:firstLineChars="200"/>
              <w:rPr>
                <w:iCs/>
                <w:color w:val="auto"/>
                <w:sz w:val="24"/>
              </w:rPr>
            </w:pPr>
            <w:r>
              <w:rPr>
                <w:rFonts w:hint="eastAsia"/>
                <w:iCs/>
                <w:color w:val="auto"/>
                <w:sz w:val="24"/>
              </w:rPr>
              <w:t>根据《环境影响评价技术导则</w:t>
            </w:r>
            <w:r>
              <w:rPr>
                <w:iCs/>
                <w:color w:val="auto"/>
                <w:sz w:val="24"/>
              </w:rPr>
              <w:t>-</w:t>
            </w:r>
            <w:r>
              <w:rPr>
                <w:rFonts w:hint="eastAsia"/>
                <w:iCs/>
                <w:color w:val="auto"/>
                <w:sz w:val="24"/>
              </w:rPr>
              <w:t>声环境》（</w:t>
            </w:r>
            <w:r>
              <w:rPr>
                <w:iCs/>
                <w:color w:val="auto"/>
                <w:sz w:val="24"/>
              </w:rPr>
              <w:t>HJ2.4-2009</w:t>
            </w:r>
            <w:r>
              <w:rPr>
                <w:rFonts w:hint="eastAsia"/>
                <w:iCs/>
                <w:color w:val="auto"/>
                <w:sz w:val="24"/>
              </w:rPr>
              <w:t>），一级评价评价范围为项目边界向外</w:t>
            </w:r>
            <w:r>
              <w:rPr>
                <w:iCs/>
                <w:color w:val="auto"/>
                <w:sz w:val="24"/>
              </w:rPr>
              <w:t>200m</w:t>
            </w:r>
            <w:r>
              <w:rPr>
                <w:rFonts w:hint="eastAsia"/>
                <w:iCs/>
                <w:color w:val="auto"/>
                <w:sz w:val="24"/>
              </w:rPr>
              <w:t>，二级、三级评价范围可根据建设项目所在区域和相邻区域的声环境功能区类别及敏感目标等实际情况适当缩小。本工程储能变电站声环境影响评价工作等级为二级，结合典型噪声模拟衰减预测趋势，因此综合确定本工程变电站声环境影响评价范围：变电站围墙外</w:t>
            </w:r>
            <w:r>
              <w:rPr>
                <w:iCs/>
                <w:color w:val="auto"/>
                <w:sz w:val="24"/>
              </w:rPr>
              <w:t>50m</w:t>
            </w:r>
            <w:r>
              <w:rPr>
                <w:rFonts w:hint="eastAsia"/>
                <w:iCs/>
                <w:color w:val="auto"/>
                <w:sz w:val="24"/>
              </w:rPr>
              <w:t>范围内。</w:t>
            </w:r>
          </w:p>
          <w:p>
            <w:pPr>
              <w:adjustRightInd w:val="0"/>
              <w:snapToGrid w:val="0"/>
              <w:spacing w:line="360" w:lineRule="auto"/>
              <w:ind w:firstLine="482" w:firstLineChars="200"/>
              <w:rPr>
                <w:b/>
                <w:bCs/>
                <w:iCs/>
                <w:color w:val="auto"/>
                <w:sz w:val="24"/>
                <w:szCs w:val="22"/>
              </w:rPr>
            </w:pPr>
            <w:r>
              <w:rPr>
                <w:rFonts w:hint="eastAsia"/>
                <w:b/>
                <w:bCs/>
                <w:iCs/>
                <w:color w:val="auto"/>
                <w:sz w:val="24"/>
                <w:szCs w:val="22"/>
              </w:rPr>
              <w:t>（</w:t>
            </w:r>
            <w:r>
              <w:rPr>
                <w:b/>
                <w:bCs/>
                <w:iCs/>
                <w:color w:val="auto"/>
                <w:sz w:val="24"/>
                <w:szCs w:val="22"/>
              </w:rPr>
              <w:t>3</w:t>
            </w:r>
            <w:r>
              <w:rPr>
                <w:rFonts w:hint="eastAsia"/>
                <w:b/>
                <w:bCs/>
                <w:iCs/>
                <w:color w:val="auto"/>
                <w:sz w:val="24"/>
                <w:szCs w:val="22"/>
              </w:rPr>
              <w:t>）生态环境</w:t>
            </w:r>
          </w:p>
          <w:p>
            <w:pPr>
              <w:spacing w:line="360" w:lineRule="auto"/>
              <w:ind w:firstLine="480" w:firstLineChars="200"/>
              <w:rPr>
                <w:rFonts w:hint="eastAsia"/>
                <w:iCs/>
                <w:color w:val="auto"/>
                <w:sz w:val="24"/>
              </w:rPr>
            </w:pPr>
            <w:r>
              <w:rPr>
                <w:rFonts w:hint="eastAsia"/>
                <w:color w:val="auto"/>
                <w:sz w:val="24"/>
                <w:szCs w:val="24"/>
              </w:rPr>
              <w:t>根据《环境影响评价技术导则</w:t>
            </w:r>
            <w:r>
              <w:rPr>
                <w:color w:val="auto"/>
                <w:sz w:val="24"/>
                <w:szCs w:val="24"/>
              </w:rPr>
              <w:t>-</w:t>
            </w:r>
            <w:r>
              <w:rPr>
                <w:rFonts w:hint="eastAsia"/>
                <w:color w:val="auto"/>
                <w:sz w:val="24"/>
                <w:szCs w:val="24"/>
              </w:rPr>
              <w:t>输变电工程》（</w:t>
            </w:r>
            <w:r>
              <w:rPr>
                <w:color w:val="auto"/>
                <w:sz w:val="24"/>
                <w:szCs w:val="24"/>
              </w:rPr>
              <w:t>HJ 24-2014</w:t>
            </w:r>
            <w:r>
              <w:rPr>
                <w:rFonts w:hint="eastAsia"/>
                <w:color w:val="auto"/>
                <w:sz w:val="24"/>
                <w:szCs w:val="24"/>
              </w:rPr>
              <w:t>），本工程不涉及生态敏感区，评价范围如下：</w:t>
            </w:r>
            <w:r>
              <w:rPr>
                <w:rFonts w:hint="eastAsia"/>
                <w:iCs/>
                <w:color w:val="auto"/>
                <w:sz w:val="24"/>
              </w:rPr>
              <w:t>变电站围墙外</w:t>
            </w:r>
            <w:r>
              <w:rPr>
                <w:iCs/>
                <w:color w:val="auto"/>
                <w:sz w:val="24"/>
              </w:rPr>
              <w:t>500m</w:t>
            </w:r>
            <w:r>
              <w:rPr>
                <w:rFonts w:hint="eastAsia"/>
                <w:iCs/>
                <w:color w:val="auto"/>
                <w:sz w:val="24"/>
              </w:rPr>
              <w:t>范围内区域。</w:t>
            </w:r>
          </w:p>
          <w:p>
            <w:pPr>
              <w:numPr>
                <w:ilvl w:val="0"/>
                <w:numId w:val="5"/>
              </w:numPr>
              <w:adjustRightInd w:val="0"/>
              <w:snapToGrid w:val="0"/>
              <w:spacing w:line="360" w:lineRule="auto"/>
              <w:ind w:firstLine="482" w:firstLineChars="200"/>
              <w:rPr>
                <w:rFonts w:hint="eastAsia"/>
                <w:b/>
                <w:bCs/>
                <w:iCs/>
                <w:color w:val="auto"/>
                <w:sz w:val="24"/>
                <w:szCs w:val="22"/>
                <w:lang w:eastAsia="zh-CN"/>
              </w:rPr>
            </w:pPr>
            <w:r>
              <w:rPr>
                <w:rFonts w:hint="eastAsia"/>
                <w:b/>
                <w:bCs/>
                <w:iCs/>
                <w:color w:val="auto"/>
                <w:sz w:val="24"/>
                <w:szCs w:val="22"/>
                <w:lang w:eastAsia="zh-CN"/>
              </w:rPr>
              <w:t>地表水</w:t>
            </w:r>
          </w:p>
          <w:p>
            <w:pPr>
              <w:numPr>
                <w:ilvl w:val="-1"/>
                <w:numId w:val="0"/>
              </w:numPr>
              <w:adjustRightInd w:val="0"/>
              <w:snapToGrid w:val="0"/>
              <w:spacing w:line="360" w:lineRule="auto"/>
              <w:ind w:firstLine="0" w:firstLineChars="0"/>
              <w:rPr>
                <w:rFonts w:hint="eastAsia" w:eastAsia="宋体"/>
                <w:b/>
                <w:bCs/>
                <w:iCs/>
                <w:color w:val="auto"/>
                <w:sz w:val="24"/>
                <w:szCs w:val="22"/>
                <w:lang w:eastAsia="zh-CN"/>
              </w:rPr>
            </w:pPr>
            <w:r>
              <w:rPr>
                <w:rFonts w:hint="eastAsia"/>
                <w:b/>
                <w:bCs/>
                <w:iCs/>
                <w:color w:val="auto"/>
                <w:sz w:val="24"/>
                <w:szCs w:val="22"/>
                <w:lang w:val="en-US" w:eastAsia="zh-CN"/>
              </w:rPr>
              <w:t xml:space="preserve">  </w:t>
            </w:r>
            <w:r>
              <w:rPr>
                <w:rFonts w:hint="eastAsia"/>
                <w:b w:val="0"/>
                <w:bCs w:val="0"/>
                <w:iCs w:val="0"/>
                <w:color w:val="auto"/>
                <w:sz w:val="24"/>
                <w:szCs w:val="24"/>
                <w:lang w:val="en-US" w:eastAsia="zh-CN"/>
              </w:rPr>
              <w:t xml:space="preserve"> </w:t>
            </w:r>
            <w:r>
              <w:rPr>
                <w:rFonts w:hint="eastAsia"/>
                <w:color w:val="auto"/>
                <w:sz w:val="24"/>
                <w:szCs w:val="24"/>
              </w:rPr>
              <w:t>本工程变电站</w:t>
            </w:r>
            <w:r>
              <w:rPr>
                <w:rFonts w:hint="eastAsia"/>
                <w:color w:val="auto"/>
                <w:sz w:val="24"/>
                <w:szCs w:val="24"/>
                <w:lang w:eastAsia="zh-CN"/>
              </w:rPr>
              <w:t>施工期和运营期废水</w:t>
            </w:r>
            <w:r>
              <w:rPr>
                <w:rFonts w:hint="eastAsia"/>
                <w:color w:val="auto"/>
                <w:sz w:val="24"/>
                <w:szCs w:val="24"/>
              </w:rPr>
              <w:t>经处理后</w:t>
            </w:r>
            <w:r>
              <w:rPr>
                <w:rFonts w:hint="eastAsia"/>
                <w:color w:val="auto"/>
                <w:sz w:val="24"/>
                <w:szCs w:val="24"/>
                <w:lang w:eastAsia="zh-CN"/>
              </w:rPr>
              <w:t>回用</w:t>
            </w:r>
            <w:r>
              <w:rPr>
                <w:rFonts w:hint="eastAsia"/>
                <w:color w:val="auto"/>
                <w:sz w:val="24"/>
                <w:szCs w:val="24"/>
              </w:rPr>
              <w:t>，</w:t>
            </w:r>
            <w:r>
              <w:rPr>
                <w:rFonts w:hint="eastAsia"/>
                <w:color w:val="auto"/>
                <w:sz w:val="24"/>
                <w:szCs w:val="24"/>
                <w:lang w:eastAsia="zh-CN"/>
              </w:rPr>
              <w:t>工程未设置排污口，污水</w:t>
            </w:r>
            <w:r>
              <w:rPr>
                <w:rFonts w:hint="eastAsia"/>
                <w:color w:val="auto"/>
                <w:sz w:val="24"/>
                <w:szCs w:val="24"/>
              </w:rPr>
              <w:t>不外排</w:t>
            </w:r>
            <w:r>
              <w:rPr>
                <w:rFonts w:hint="eastAsia"/>
                <w:color w:val="auto"/>
                <w:sz w:val="24"/>
                <w:szCs w:val="24"/>
                <w:lang w:eastAsia="zh-CN"/>
              </w:rPr>
              <w:t>，且工程周边多为灌溉沟渠，</w:t>
            </w:r>
            <w:r>
              <w:rPr>
                <w:rFonts w:hint="eastAsia"/>
                <w:b w:val="0"/>
                <w:bCs w:val="0"/>
                <w:iCs w:val="0"/>
                <w:color w:val="auto"/>
                <w:sz w:val="24"/>
                <w:szCs w:val="24"/>
                <w:lang w:val="en-US" w:eastAsia="zh-CN"/>
              </w:rPr>
              <w:t xml:space="preserve">根据 </w:t>
            </w:r>
            <w:r>
              <w:rPr>
                <w:rFonts w:hint="eastAsia"/>
                <w:color w:val="auto"/>
                <w:sz w:val="24"/>
                <w:szCs w:val="24"/>
              </w:rPr>
              <w:t>《环境影响评价技术导则</w:t>
            </w:r>
            <w:r>
              <w:rPr>
                <w:color w:val="auto"/>
                <w:sz w:val="24"/>
                <w:szCs w:val="24"/>
              </w:rPr>
              <w:t>-</w:t>
            </w:r>
            <w:r>
              <w:rPr>
                <w:rFonts w:hint="eastAsia"/>
                <w:color w:val="auto"/>
                <w:sz w:val="24"/>
                <w:szCs w:val="24"/>
              </w:rPr>
              <w:t>地表水环境》（</w:t>
            </w:r>
            <w:r>
              <w:rPr>
                <w:color w:val="auto"/>
                <w:sz w:val="24"/>
                <w:szCs w:val="24"/>
              </w:rPr>
              <w:t>HJ 2.3-2018</w:t>
            </w:r>
            <w:r>
              <w:rPr>
                <w:rFonts w:hint="eastAsia"/>
                <w:color w:val="auto"/>
                <w:sz w:val="24"/>
                <w:szCs w:val="24"/>
              </w:rPr>
              <w:t>）的相关规定，</w:t>
            </w:r>
            <w:r>
              <w:rPr>
                <w:rFonts w:hint="eastAsia"/>
                <w:color w:val="auto"/>
                <w:sz w:val="24"/>
                <w:szCs w:val="24"/>
                <w:lang w:eastAsia="zh-CN"/>
              </w:rPr>
              <w:t>不涉及地表水评价范围。</w:t>
            </w:r>
          </w:p>
          <w:p>
            <w:pPr>
              <w:spacing w:line="360" w:lineRule="auto"/>
              <w:outlineLvl w:val="1"/>
              <w:rPr>
                <w:color w:val="auto"/>
                <w:sz w:val="24"/>
                <w:szCs w:val="24"/>
              </w:rPr>
            </w:pPr>
            <w:r>
              <w:rPr>
                <w:b/>
                <w:color w:val="auto"/>
                <w:sz w:val="28"/>
                <w:szCs w:val="28"/>
              </w:rPr>
              <w:t xml:space="preserve">1.6 </w:t>
            </w:r>
            <w:r>
              <w:rPr>
                <w:rFonts w:hint="eastAsia"/>
                <w:b/>
                <w:color w:val="auto"/>
                <w:sz w:val="28"/>
                <w:szCs w:val="28"/>
              </w:rPr>
              <w:t>产业政策符合性分析</w:t>
            </w:r>
          </w:p>
          <w:p>
            <w:pPr>
              <w:autoSpaceDE w:val="0"/>
              <w:autoSpaceDN w:val="0"/>
              <w:adjustRightInd w:val="0"/>
              <w:spacing w:line="360" w:lineRule="auto"/>
              <w:ind w:firstLine="600" w:firstLineChars="250"/>
              <w:jc w:val="left"/>
              <w:rPr>
                <w:color w:val="auto"/>
                <w:kern w:val="0"/>
                <w:sz w:val="24"/>
                <w:szCs w:val="24"/>
              </w:rPr>
            </w:pPr>
            <w:r>
              <w:rPr>
                <w:rFonts w:hint="eastAsia"/>
                <w:color w:val="auto"/>
                <w:kern w:val="0"/>
                <w:sz w:val="24"/>
                <w:szCs w:val="24"/>
              </w:rPr>
              <w:t>根据国家发展和改革委员会颁布的《产业结构调整指导目录（</w:t>
            </w:r>
            <w:r>
              <w:rPr>
                <w:color w:val="auto"/>
                <w:kern w:val="0"/>
                <w:sz w:val="24"/>
                <w:szCs w:val="24"/>
              </w:rPr>
              <w:t>2019</w:t>
            </w:r>
            <w:r>
              <w:rPr>
                <w:rFonts w:hint="eastAsia"/>
                <w:color w:val="auto"/>
                <w:kern w:val="0"/>
                <w:sz w:val="24"/>
                <w:szCs w:val="24"/>
              </w:rPr>
              <w:t>年本）》，本工程属于其中</w:t>
            </w:r>
            <w:r>
              <w:rPr>
                <w:color w:val="auto"/>
                <w:kern w:val="0"/>
                <w:sz w:val="24"/>
                <w:szCs w:val="24"/>
              </w:rPr>
              <w:t>“</w:t>
            </w:r>
            <w:r>
              <w:rPr>
                <w:rFonts w:hint="eastAsia"/>
                <w:color w:val="auto"/>
                <w:kern w:val="0"/>
                <w:sz w:val="24"/>
                <w:szCs w:val="24"/>
              </w:rPr>
              <w:t>第一类鼓励类</w:t>
            </w:r>
            <w:r>
              <w:rPr>
                <w:color w:val="auto"/>
                <w:kern w:val="0"/>
                <w:sz w:val="24"/>
                <w:szCs w:val="24"/>
              </w:rPr>
              <w:t>”</w:t>
            </w:r>
            <w:r>
              <w:rPr>
                <w:rFonts w:hint="eastAsia"/>
                <w:color w:val="auto"/>
                <w:kern w:val="0"/>
                <w:sz w:val="24"/>
                <w:szCs w:val="24"/>
              </w:rPr>
              <w:t>项目中的“大容量电能储存技术开发与应用”和“</w:t>
            </w:r>
            <w:r>
              <w:rPr>
                <w:color w:val="auto"/>
                <w:kern w:val="0"/>
                <w:sz w:val="24"/>
                <w:szCs w:val="24"/>
              </w:rPr>
              <w:t xml:space="preserve"> </w:t>
            </w:r>
            <w:r>
              <w:rPr>
                <w:rFonts w:hint="eastAsia"/>
                <w:color w:val="auto"/>
                <w:kern w:val="0"/>
                <w:sz w:val="24"/>
                <w:szCs w:val="24"/>
              </w:rPr>
              <w:t>电网改造与建设”项目，符合国家产业政策。</w:t>
            </w:r>
          </w:p>
          <w:p>
            <w:pPr>
              <w:spacing w:line="360" w:lineRule="auto"/>
              <w:rPr>
                <w:b/>
                <w:color w:val="auto"/>
                <w:sz w:val="28"/>
                <w:szCs w:val="28"/>
              </w:rPr>
            </w:pPr>
            <w:r>
              <w:rPr>
                <w:b/>
                <w:color w:val="auto"/>
                <w:sz w:val="28"/>
                <w:szCs w:val="28"/>
              </w:rPr>
              <w:t>1.7</w:t>
            </w:r>
            <w:r>
              <w:rPr>
                <w:rFonts w:hint="eastAsia"/>
                <w:b/>
                <w:color w:val="auto"/>
                <w:sz w:val="28"/>
                <w:szCs w:val="28"/>
              </w:rPr>
              <w:t>工程建设进展情况</w:t>
            </w:r>
          </w:p>
          <w:p>
            <w:pPr>
              <w:spacing w:line="360" w:lineRule="auto"/>
              <w:ind w:firstLine="592" w:firstLineChars="247"/>
              <w:rPr>
                <w:b/>
                <w:color w:val="auto"/>
                <w:sz w:val="24"/>
                <w:szCs w:val="24"/>
              </w:rPr>
            </w:pPr>
            <w:r>
              <w:rPr>
                <w:rFonts w:hint="eastAsia"/>
                <w:color w:val="auto"/>
                <w:sz w:val="24"/>
                <w:szCs w:val="24"/>
              </w:rPr>
              <w:t>本工程计划于</w:t>
            </w:r>
            <w:r>
              <w:rPr>
                <w:color w:val="auto"/>
                <w:sz w:val="24"/>
                <w:szCs w:val="24"/>
              </w:rPr>
              <w:t>2020</w:t>
            </w:r>
            <w:r>
              <w:rPr>
                <w:rFonts w:hint="eastAsia"/>
                <w:color w:val="auto"/>
                <w:sz w:val="24"/>
                <w:szCs w:val="24"/>
              </w:rPr>
              <w:t>年启动建设，</w:t>
            </w:r>
            <w:r>
              <w:rPr>
                <w:color w:val="auto"/>
                <w:sz w:val="24"/>
                <w:szCs w:val="24"/>
              </w:rPr>
              <w:t>2021</w:t>
            </w:r>
            <w:r>
              <w:rPr>
                <w:rFonts w:hint="eastAsia"/>
                <w:color w:val="auto"/>
                <w:sz w:val="24"/>
                <w:szCs w:val="24"/>
              </w:rPr>
              <w:t>年投产并网。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94" w:hRule="atLeast"/>
          <w:jc w:val="center"/>
        </w:trPr>
        <w:tc>
          <w:tcPr>
            <w:tcW w:w="9344" w:type="dxa"/>
            <w:gridSpan w:val="10"/>
          </w:tcPr>
          <w:p>
            <w:pPr>
              <w:spacing w:line="360" w:lineRule="auto"/>
              <w:rPr>
                <w:b/>
                <w:color w:val="auto"/>
                <w:sz w:val="28"/>
                <w:szCs w:val="28"/>
              </w:rPr>
            </w:pPr>
            <w:r>
              <w:rPr>
                <w:b/>
                <w:color w:val="auto"/>
                <w:sz w:val="28"/>
                <w:szCs w:val="28"/>
              </w:rPr>
              <w:t xml:space="preserve">1.8 </w:t>
            </w:r>
            <w:r>
              <w:rPr>
                <w:rFonts w:hint="eastAsia"/>
                <w:b/>
                <w:color w:val="auto"/>
                <w:sz w:val="28"/>
                <w:szCs w:val="28"/>
              </w:rPr>
              <w:t>与本项目有关的原有污染情况及主要环境问题</w:t>
            </w:r>
          </w:p>
          <w:p>
            <w:pPr>
              <w:spacing w:line="360" w:lineRule="auto"/>
              <w:rPr>
                <w:b/>
                <w:color w:val="auto"/>
                <w:sz w:val="24"/>
                <w:szCs w:val="24"/>
              </w:rPr>
            </w:pPr>
            <w:r>
              <w:rPr>
                <w:b/>
                <w:color w:val="auto"/>
                <w:sz w:val="24"/>
                <w:szCs w:val="24"/>
              </w:rPr>
              <w:t xml:space="preserve">1.7.1 </w:t>
            </w:r>
            <w:r>
              <w:rPr>
                <w:rFonts w:hint="eastAsia"/>
                <w:b/>
                <w:color w:val="auto"/>
                <w:sz w:val="24"/>
                <w:szCs w:val="24"/>
              </w:rPr>
              <w:t>与本项目有关的原有污染情况</w:t>
            </w:r>
          </w:p>
          <w:p>
            <w:pPr>
              <w:autoSpaceDE w:val="0"/>
              <w:autoSpaceDN w:val="0"/>
              <w:adjustRightInd w:val="0"/>
              <w:spacing w:line="360" w:lineRule="auto"/>
              <w:ind w:firstLine="600" w:firstLineChars="250"/>
              <w:jc w:val="left"/>
              <w:rPr>
                <w:color w:val="auto"/>
                <w:kern w:val="0"/>
                <w:sz w:val="24"/>
                <w:szCs w:val="24"/>
              </w:rPr>
            </w:pPr>
            <w:r>
              <w:rPr>
                <w:rFonts w:hint="eastAsia"/>
                <w:color w:val="auto"/>
                <w:kern w:val="0"/>
                <w:sz w:val="24"/>
                <w:szCs w:val="24"/>
              </w:rPr>
              <w:t>本储能电站考虑接入毗邻的儒林</w:t>
            </w:r>
            <w:r>
              <w:rPr>
                <w:color w:val="auto"/>
                <w:kern w:val="0"/>
                <w:sz w:val="24"/>
                <w:szCs w:val="24"/>
              </w:rPr>
              <w:t>220kV</w:t>
            </w:r>
            <w:r>
              <w:rPr>
                <w:rFonts w:hint="eastAsia"/>
                <w:color w:val="auto"/>
                <w:kern w:val="0"/>
                <w:sz w:val="24"/>
                <w:szCs w:val="24"/>
              </w:rPr>
              <w:t>变电站，该变电站现状规模如下：</w:t>
            </w:r>
          </w:p>
          <w:p>
            <w:pPr>
              <w:autoSpaceDE w:val="0"/>
              <w:autoSpaceDN w:val="0"/>
              <w:adjustRightInd w:val="0"/>
              <w:spacing w:line="360" w:lineRule="auto"/>
              <w:jc w:val="left"/>
              <w:rPr>
                <w:color w:val="auto"/>
                <w:kern w:val="0"/>
                <w:sz w:val="24"/>
                <w:szCs w:val="24"/>
              </w:rPr>
            </w:pPr>
            <w:r>
              <w:rPr>
                <w:color w:val="auto"/>
                <w:kern w:val="0"/>
                <w:sz w:val="24"/>
                <w:szCs w:val="24"/>
              </w:rPr>
              <w:t xml:space="preserve">     </w:t>
            </w:r>
            <w:r>
              <w:rPr>
                <w:rFonts w:hint="eastAsia"/>
                <w:color w:val="auto"/>
                <w:kern w:val="0"/>
                <w:sz w:val="24"/>
                <w:szCs w:val="24"/>
              </w:rPr>
              <w:t>儒林</w:t>
            </w:r>
            <w:r>
              <w:rPr>
                <w:color w:val="auto"/>
                <w:kern w:val="0"/>
                <w:sz w:val="24"/>
                <w:szCs w:val="24"/>
              </w:rPr>
              <w:t>220kV</w:t>
            </w:r>
            <w:r>
              <w:rPr>
                <w:rFonts w:hint="eastAsia"/>
                <w:color w:val="auto"/>
                <w:kern w:val="0"/>
                <w:sz w:val="24"/>
                <w:szCs w:val="24"/>
              </w:rPr>
              <w:t>变电站工程于</w:t>
            </w:r>
            <w:r>
              <w:rPr>
                <w:color w:val="auto"/>
                <w:kern w:val="0"/>
                <w:sz w:val="24"/>
                <w:szCs w:val="24"/>
              </w:rPr>
              <w:t>2007</w:t>
            </w:r>
            <w:r>
              <w:rPr>
                <w:rFonts w:hint="eastAsia"/>
                <w:color w:val="auto"/>
                <w:kern w:val="0"/>
                <w:sz w:val="24"/>
                <w:szCs w:val="24"/>
              </w:rPr>
              <w:t>年办理环评手续，并通过了原湖南省环境保护局审批（湘环评表</w:t>
            </w:r>
            <w:r>
              <w:rPr>
                <w:color w:val="auto"/>
                <w:kern w:val="0"/>
                <w:sz w:val="24"/>
                <w:szCs w:val="24"/>
              </w:rPr>
              <w:t>[2007]142</w:t>
            </w:r>
            <w:r>
              <w:rPr>
                <w:rFonts w:hint="eastAsia"/>
                <w:color w:val="auto"/>
                <w:kern w:val="0"/>
                <w:sz w:val="24"/>
                <w:szCs w:val="24"/>
              </w:rPr>
              <w:t>号），</w:t>
            </w:r>
            <w:r>
              <w:rPr>
                <w:color w:val="auto"/>
                <w:kern w:val="0"/>
                <w:sz w:val="24"/>
                <w:szCs w:val="24"/>
              </w:rPr>
              <w:t>2012</w:t>
            </w:r>
            <w:r>
              <w:rPr>
                <w:rFonts w:hint="eastAsia"/>
                <w:color w:val="auto"/>
                <w:kern w:val="0"/>
                <w:sz w:val="24"/>
                <w:szCs w:val="24"/>
              </w:rPr>
              <w:t>年通过了竣工环保验收（湘环评辐验表</w:t>
            </w:r>
            <w:r>
              <w:rPr>
                <w:color w:val="auto"/>
                <w:kern w:val="0"/>
                <w:sz w:val="24"/>
                <w:szCs w:val="24"/>
              </w:rPr>
              <w:t>[2012]3</w:t>
            </w:r>
            <w:r>
              <w:rPr>
                <w:rFonts w:hint="eastAsia"/>
                <w:color w:val="auto"/>
                <w:kern w:val="0"/>
                <w:sz w:val="24"/>
                <w:szCs w:val="24"/>
              </w:rPr>
              <w:t>号）。该工程于</w:t>
            </w:r>
            <w:r>
              <w:rPr>
                <w:color w:val="auto"/>
                <w:kern w:val="0"/>
                <w:sz w:val="24"/>
                <w:szCs w:val="24"/>
              </w:rPr>
              <w:t>2017</w:t>
            </w:r>
            <w:r>
              <w:rPr>
                <w:rFonts w:hint="eastAsia"/>
                <w:color w:val="auto"/>
                <w:kern w:val="0"/>
                <w:sz w:val="24"/>
                <w:szCs w:val="24"/>
              </w:rPr>
              <w:t>年进行了二期扩建工程，其环评通过了原湖南省环境保护厅审批（湘环评辐表</w:t>
            </w:r>
            <w:r>
              <w:rPr>
                <w:color w:val="auto"/>
                <w:kern w:val="0"/>
                <w:sz w:val="24"/>
                <w:szCs w:val="24"/>
              </w:rPr>
              <w:t>[2018]17</w:t>
            </w:r>
            <w:r>
              <w:rPr>
                <w:rFonts w:hint="eastAsia"/>
                <w:color w:val="auto"/>
                <w:kern w:val="0"/>
                <w:sz w:val="24"/>
                <w:szCs w:val="24"/>
              </w:rPr>
              <w:t>号），扩建完成后儒林</w:t>
            </w:r>
            <w:r>
              <w:rPr>
                <w:color w:val="auto"/>
                <w:kern w:val="0"/>
                <w:sz w:val="24"/>
                <w:szCs w:val="24"/>
              </w:rPr>
              <w:t>220kV</w:t>
            </w:r>
            <w:r>
              <w:rPr>
                <w:rFonts w:hint="eastAsia"/>
                <w:color w:val="auto"/>
                <w:kern w:val="0"/>
                <w:sz w:val="24"/>
                <w:szCs w:val="24"/>
              </w:rPr>
              <w:t>变电站主变规模为</w:t>
            </w:r>
            <w:r>
              <w:rPr>
                <w:color w:val="auto"/>
                <w:kern w:val="0"/>
                <w:sz w:val="24"/>
                <w:szCs w:val="24"/>
              </w:rPr>
              <w:t>2×180MVA,</w:t>
            </w:r>
            <w:r>
              <w:rPr>
                <w:rFonts w:hint="eastAsia"/>
                <w:color w:val="auto"/>
                <w:kern w:val="0"/>
                <w:sz w:val="24"/>
                <w:szCs w:val="24"/>
              </w:rPr>
              <w:t>电压等级为</w:t>
            </w:r>
            <w:r>
              <w:rPr>
                <w:color w:val="auto"/>
                <w:kern w:val="0"/>
                <w:sz w:val="24"/>
                <w:szCs w:val="24"/>
              </w:rPr>
              <w:t>220/110/10kV</w:t>
            </w:r>
            <w:r>
              <w:rPr>
                <w:rFonts w:hint="eastAsia"/>
                <w:color w:val="auto"/>
                <w:kern w:val="0"/>
                <w:sz w:val="24"/>
                <w:szCs w:val="24"/>
              </w:rPr>
              <w:t>。</w:t>
            </w:r>
            <w:r>
              <w:rPr>
                <w:color w:val="auto"/>
                <w:kern w:val="0"/>
                <w:sz w:val="24"/>
                <w:szCs w:val="24"/>
              </w:rPr>
              <w:t>110kV</w:t>
            </w:r>
            <w:r>
              <w:rPr>
                <w:rFonts w:hint="eastAsia"/>
                <w:color w:val="auto"/>
                <w:kern w:val="0"/>
                <w:sz w:val="24"/>
                <w:szCs w:val="24"/>
              </w:rPr>
              <w:t>配电装置采用双母线带旁路母线接线型式，现状</w:t>
            </w:r>
            <w:r>
              <w:rPr>
                <w:color w:val="auto"/>
                <w:kern w:val="0"/>
                <w:sz w:val="24"/>
                <w:szCs w:val="24"/>
              </w:rPr>
              <w:t>5</w:t>
            </w:r>
            <w:r>
              <w:rPr>
                <w:rFonts w:hint="eastAsia"/>
                <w:color w:val="auto"/>
                <w:kern w:val="0"/>
                <w:sz w:val="24"/>
                <w:szCs w:val="24"/>
              </w:rPr>
              <w:t>回出线（分别为</w:t>
            </w:r>
            <w:r>
              <w:rPr>
                <w:color w:val="auto"/>
                <w:kern w:val="0"/>
                <w:sz w:val="24"/>
                <w:szCs w:val="24"/>
              </w:rPr>
              <w:t>3Y</w:t>
            </w:r>
            <w:r>
              <w:rPr>
                <w:rFonts w:hint="eastAsia"/>
                <w:color w:val="auto"/>
                <w:kern w:val="0"/>
                <w:sz w:val="24"/>
                <w:szCs w:val="24"/>
              </w:rPr>
              <w:t>儒牛苗线，</w:t>
            </w:r>
            <w:r>
              <w:rPr>
                <w:color w:val="auto"/>
                <w:kern w:val="0"/>
                <w:sz w:val="24"/>
                <w:szCs w:val="24"/>
              </w:rPr>
              <w:t>5Y</w:t>
            </w:r>
            <w:r>
              <w:rPr>
                <w:rFonts w:hint="eastAsia"/>
                <w:color w:val="auto"/>
                <w:kern w:val="0"/>
                <w:sz w:val="24"/>
                <w:szCs w:val="24"/>
              </w:rPr>
              <w:t>儒汀线，</w:t>
            </w:r>
            <w:r>
              <w:rPr>
                <w:color w:val="auto"/>
                <w:kern w:val="0"/>
                <w:sz w:val="24"/>
                <w:szCs w:val="24"/>
              </w:rPr>
              <w:t>6Y</w:t>
            </w:r>
            <w:r>
              <w:rPr>
                <w:rFonts w:hint="eastAsia"/>
                <w:color w:val="auto"/>
                <w:kern w:val="0"/>
                <w:sz w:val="24"/>
                <w:szCs w:val="24"/>
              </w:rPr>
              <w:t>儒八</w:t>
            </w:r>
            <w:r>
              <w:rPr>
                <w:color w:val="auto"/>
                <w:kern w:val="0"/>
                <w:sz w:val="24"/>
                <w:szCs w:val="24"/>
              </w:rPr>
              <w:t>II</w:t>
            </w:r>
            <w:r>
              <w:rPr>
                <w:rFonts w:hint="eastAsia"/>
                <w:color w:val="auto"/>
                <w:kern w:val="0"/>
                <w:sz w:val="24"/>
                <w:szCs w:val="24"/>
              </w:rPr>
              <w:t>线，</w:t>
            </w:r>
            <w:r>
              <w:rPr>
                <w:color w:val="auto"/>
                <w:kern w:val="0"/>
                <w:sz w:val="24"/>
                <w:szCs w:val="24"/>
              </w:rPr>
              <w:t>7Y</w:t>
            </w:r>
            <w:r>
              <w:rPr>
                <w:rFonts w:hint="eastAsia"/>
                <w:color w:val="auto"/>
                <w:kern w:val="0"/>
                <w:sz w:val="24"/>
                <w:szCs w:val="24"/>
              </w:rPr>
              <w:t>儒八</w:t>
            </w:r>
            <w:r>
              <w:rPr>
                <w:color w:val="auto"/>
                <w:kern w:val="0"/>
                <w:sz w:val="24"/>
                <w:szCs w:val="24"/>
              </w:rPr>
              <w:t>I</w:t>
            </w:r>
            <w:r>
              <w:rPr>
                <w:rFonts w:hint="eastAsia"/>
                <w:color w:val="auto"/>
                <w:kern w:val="0"/>
                <w:sz w:val="24"/>
                <w:szCs w:val="24"/>
              </w:rPr>
              <w:t>线，</w:t>
            </w:r>
            <w:r>
              <w:rPr>
                <w:color w:val="auto"/>
                <w:kern w:val="0"/>
                <w:sz w:val="24"/>
                <w:szCs w:val="24"/>
              </w:rPr>
              <w:t>9Y</w:t>
            </w:r>
            <w:r>
              <w:rPr>
                <w:rFonts w:hint="eastAsia"/>
                <w:color w:val="auto"/>
                <w:kern w:val="0"/>
                <w:sz w:val="24"/>
                <w:szCs w:val="24"/>
              </w:rPr>
              <w:t>儒茅线），备用出线</w:t>
            </w:r>
            <w:r>
              <w:rPr>
                <w:color w:val="auto"/>
                <w:kern w:val="0"/>
                <w:sz w:val="24"/>
                <w:szCs w:val="24"/>
              </w:rPr>
              <w:t>6</w:t>
            </w:r>
            <w:r>
              <w:rPr>
                <w:rFonts w:hint="eastAsia"/>
                <w:color w:val="auto"/>
                <w:kern w:val="0"/>
                <w:sz w:val="24"/>
                <w:szCs w:val="24"/>
              </w:rPr>
              <w:t>回，终期出线规模</w:t>
            </w:r>
            <w:r>
              <w:rPr>
                <w:color w:val="auto"/>
                <w:kern w:val="0"/>
                <w:sz w:val="24"/>
                <w:szCs w:val="24"/>
              </w:rPr>
              <w:t>11</w:t>
            </w:r>
            <w:r>
              <w:rPr>
                <w:rFonts w:hint="eastAsia"/>
                <w:color w:val="auto"/>
                <w:kern w:val="0"/>
                <w:sz w:val="24"/>
                <w:szCs w:val="24"/>
              </w:rPr>
              <w:t>回。</w:t>
            </w:r>
          </w:p>
          <w:p>
            <w:pPr>
              <w:pStyle w:val="7"/>
              <w:adjustRightInd w:val="0"/>
              <w:spacing w:line="360" w:lineRule="auto"/>
              <w:ind w:firstLine="480" w:firstLineChars="200"/>
              <w:rPr>
                <w:iCs/>
                <w:color w:val="auto"/>
                <w:sz w:val="24"/>
              </w:rPr>
            </w:pPr>
            <w:r>
              <w:rPr>
                <w:rFonts w:hint="eastAsia"/>
                <w:iCs/>
                <w:color w:val="auto"/>
                <w:sz w:val="24"/>
                <w:szCs w:val="24"/>
              </w:rPr>
              <w:t>本工程区域环境状况良好，未发现明显环境污染。</w:t>
            </w:r>
          </w:p>
          <w:p>
            <w:pPr>
              <w:spacing w:line="360" w:lineRule="auto"/>
              <w:rPr>
                <w:b/>
                <w:color w:val="auto"/>
                <w:sz w:val="24"/>
                <w:szCs w:val="24"/>
              </w:rPr>
            </w:pPr>
            <w:r>
              <w:rPr>
                <w:b/>
                <w:color w:val="auto"/>
                <w:sz w:val="24"/>
                <w:szCs w:val="24"/>
              </w:rPr>
              <w:t xml:space="preserve">1.7.2 </w:t>
            </w:r>
            <w:r>
              <w:rPr>
                <w:rFonts w:hint="eastAsia"/>
                <w:b/>
                <w:color w:val="auto"/>
                <w:sz w:val="24"/>
                <w:szCs w:val="24"/>
              </w:rPr>
              <w:t>与本项目有关的主要环境问题</w:t>
            </w:r>
          </w:p>
          <w:p>
            <w:pPr>
              <w:keepNext/>
              <w:spacing w:line="360" w:lineRule="auto"/>
              <w:ind w:firstLine="566" w:firstLineChars="236"/>
              <w:rPr>
                <w:color w:val="auto"/>
                <w:sz w:val="24"/>
              </w:rPr>
            </w:pPr>
            <w:r>
              <w:rPr>
                <w:rFonts w:hint="eastAsia"/>
                <w:color w:val="auto"/>
                <w:sz w:val="24"/>
              </w:rPr>
              <w:t>根据现场踏勘和调查，本项目储能电站工程位于城步</w:t>
            </w:r>
            <w:r>
              <w:rPr>
                <w:rFonts w:hint="eastAsia"/>
                <w:color w:val="auto"/>
                <w:kern w:val="0"/>
                <w:sz w:val="24"/>
                <w:szCs w:val="24"/>
              </w:rPr>
              <w:t>儒林</w:t>
            </w:r>
            <w:r>
              <w:rPr>
                <w:color w:val="auto"/>
                <w:kern w:val="0"/>
                <w:sz w:val="24"/>
                <w:szCs w:val="24"/>
              </w:rPr>
              <w:t>220kV</w:t>
            </w:r>
            <w:r>
              <w:rPr>
                <w:rFonts w:hint="eastAsia"/>
                <w:color w:val="auto"/>
                <w:kern w:val="0"/>
                <w:sz w:val="24"/>
                <w:szCs w:val="24"/>
              </w:rPr>
              <w:t>变电站西侧，现状用地多为荒草地和林地。根据现状监测结果来看，本次拟建站址</w:t>
            </w:r>
            <w:r>
              <w:rPr>
                <w:rFonts w:hint="eastAsia"/>
                <w:color w:val="auto"/>
                <w:sz w:val="24"/>
              </w:rPr>
              <w:t>厂界的工频电场、工频磁感应强度均满足相应的标准限值要求，工程所在地附近电磁环境和声环境现状均满足相应国家标准要求。</w:t>
            </w: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p>
            <w:pPr>
              <w:keepNext/>
              <w:spacing w:line="360" w:lineRule="auto"/>
              <w:ind w:firstLine="566" w:firstLineChars="236"/>
              <w:rPr>
                <w:color w:val="auto"/>
                <w:sz w:val="24"/>
              </w:rPr>
            </w:pPr>
          </w:p>
        </w:tc>
      </w:tr>
    </w:tbl>
    <w:p>
      <w:pPr>
        <w:pStyle w:val="5"/>
        <w:adjustRightInd w:val="0"/>
        <w:snapToGrid w:val="0"/>
        <w:spacing w:line="360" w:lineRule="auto"/>
        <w:ind w:left="108"/>
        <w:jc w:val="both"/>
        <w:rPr>
          <w:b/>
          <w:color w:val="auto"/>
          <w:sz w:val="30"/>
          <w:szCs w:val="30"/>
        </w:rPr>
      </w:pPr>
      <w:bookmarkStart w:id="12" w:name="_Toc244053167"/>
      <w:r>
        <w:rPr>
          <w:color w:val="auto"/>
        </w:rPr>
        <w:br w:type="page"/>
      </w:r>
      <w:bookmarkStart w:id="13" w:name="_Toc40447920"/>
      <w:r>
        <w:rPr>
          <w:rFonts w:hint="eastAsia"/>
          <w:b/>
          <w:color w:val="auto"/>
          <w:sz w:val="30"/>
          <w:szCs w:val="30"/>
        </w:rPr>
        <w:t>二、建设项目所在地自然环境简况</w:t>
      </w:r>
      <w:bookmarkEnd w:id="12"/>
      <w:bookmarkEnd w:id="13"/>
    </w:p>
    <w:tbl>
      <w:tblPr>
        <w:tblStyle w:val="87"/>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1" w:type="dxa"/>
          </w:tcPr>
          <w:p>
            <w:pPr>
              <w:spacing w:line="440" w:lineRule="exact"/>
              <w:rPr>
                <w:b/>
                <w:color w:val="auto"/>
                <w:sz w:val="24"/>
              </w:rPr>
            </w:pPr>
            <w:r>
              <w:rPr>
                <w:rFonts w:hint="eastAsia"/>
                <w:b/>
                <w:color w:val="auto"/>
                <w:sz w:val="24"/>
              </w:rPr>
              <w:t>自然环境简况（地形、地貌、地质、气候、气象、水文、植被、生物多样性等）：</w:t>
            </w:r>
          </w:p>
          <w:p>
            <w:pPr>
              <w:spacing w:line="440" w:lineRule="exact"/>
              <w:rPr>
                <w:rFonts w:eastAsiaTheme="minorEastAsia"/>
                <w:b/>
                <w:color w:val="auto"/>
                <w:sz w:val="24"/>
                <w:szCs w:val="24"/>
              </w:rPr>
            </w:pPr>
            <w:r>
              <w:rPr>
                <w:rFonts w:eastAsiaTheme="minorEastAsia"/>
                <w:b/>
                <w:color w:val="auto"/>
                <w:sz w:val="24"/>
                <w:szCs w:val="24"/>
              </w:rPr>
              <w:t>2.1</w:t>
            </w:r>
            <w:r>
              <w:rPr>
                <w:rFonts w:hint="eastAsia" w:eastAsiaTheme="minorEastAsia"/>
                <w:b/>
                <w:color w:val="auto"/>
                <w:sz w:val="24"/>
                <w:szCs w:val="24"/>
              </w:rPr>
              <w:t>地理位置</w:t>
            </w:r>
          </w:p>
          <w:p>
            <w:pPr>
              <w:spacing w:line="440" w:lineRule="exact"/>
              <w:ind w:firstLine="480" w:firstLineChars="200"/>
              <w:rPr>
                <w:color w:val="auto"/>
                <w:sz w:val="24"/>
                <w:szCs w:val="24"/>
              </w:rPr>
            </w:pPr>
            <w:r>
              <w:rPr>
                <w:rFonts w:hint="eastAsia"/>
                <w:color w:val="auto"/>
                <w:sz w:val="24"/>
                <w:szCs w:val="22"/>
              </w:rPr>
              <w:t>城步苗族自治县地处湖南省西南边陲，沅江支流巫水上游，位于北纬25°58ˊ～26°42ˊ，东经109°58ˊ～110°37ˊ；东界新宁县，南邻广西资源县和龙胜各族自治县，西接绥宁县和通道侗族自治县，北毗武冈市；东西直线纵距</w:t>
            </w:r>
            <w:r>
              <w:rPr>
                <w:color w:val="auto"/>
                <w:sz w:val="24"/>
                <w:szCs w:val="22"/>
              </w:rPr>
              <w:t>65</w:t>
            </w:r>
            <w:r>
              <w:rPr>
                <w:rFonts w:hint="eastAsia"/>
                <w:color w:val="auto"/>
                <w:sz w:val="24"/>
                <w:szCs w:val="22"/>
              </w:rPr>
              <w:t>公里，南北直线纵距</w:t>
            </w:r>
            <w:r>
              <w:rPr>
                <w:color w:val="auto"/>
                <w:sz w:val="24"/>
                <w:szCs w:val="22"/>
              </w:rPr>
              <w:t>83</w:t>
            </w:r>
            <w:r>
              <w:rPr>
                <w:rFonts w:hint="eastAsia"/>
                <w:color w:val="auto"/>
                <w:sz w:val="24"/>
                <w:szCs w:val="22"/>
              </w:rPr>
              <w:t>公里，总面积</w:t>
            </w:r>
            <w:r>
              <w:rPr>
                <w:color w:val="auto"/>
                <w:sz w:val="24"/>
                <w:szCs w:val="22"/>
              </w:rPr>
              <w:t>2647.07</w:t>
            </w:r>
            <w:r>
              <w:rPr>
                <w:rFonts w:hint="eastAsia"/>
                <w:color w:val="auto"/>
                <w:sz w:val="24"/>
                <w:szCs w:val="22"/>
              </w:rPr>
              <w:t>平方公里，折合</w:t>
            </w:r>
            <w:r>
              <w:rPr>
                <w:color w:val="auto"/>
                <w:sz w:val="24"/>
                <w:szCs w:val="22"/>
              </w:rPr>
              <w:t>397.06</w:t>
            </w:r>
            <w:r>
              <w:rPr>
                <w:rFonts w:hint="eastAsia"/>
                <w:color w:val="auto"/>
                <w:sz w:val="24"/>
                <w:szCs w:val="22"/>
              </w:rPr>
              <w:t>万亩。县城儒林镇位于县境中部，北距邵阳市</w:t>
            </w:r>
            <w:r>
              <w:rPr>
                <w:color w:val="auto"/>
                <w:sz w:val="24"/>
                <w:szCs w:val="22"/>
              </w:rPr>
              <w:t>206</w:t>
            </w:r>
            <w:r>
              <w:rPr>
                <w:rFonts w:hint="eastAsia"/>
                <w:color w:val="auto"/>
                <w:sz w:val="24"/>
                <w:szCs w:val="22"/>
              </w:rPr>
              <w:t>公里，距省会长沙</w:t>
            </w:r>
            <w:r>
              <w:rPr>
                <w:color w:val="auto"/>
                <w:sz w:val="24"/>
                <w:szCs w:val="22"/>
              </w:rPr>
              <w:t>436</w:t>
            </w:r>
            <w:r>
              <w:rPr>
                <w:rFonts w:hint="eastAsia"/>
                <w:color w:val="auto"/>
                <w:sz w:val="24"/>
                <w:szCs w:val="22"/>
              </w:rPr>
              <w:t>公里，南至桂林市</w:t>
            </w:r>
            <w:r>
              <w:rPr>
                <w:color w:val="auto"/>
                <w:sz w:val="24"/>
                <w:szCs w:val="22"/>
              </w:rPr>
              <w:t>210</w:t>
            </w:r>
            <w:r>
              <w:rPr>
                <w:rFonts w:hint="eastAsia"/>
                <w:color w:val="auto"/>
                <w:sz w:val="24"/>
                <w:szCs w:val="22"/>
              </w:rPr>
              <w:t>公里。具体位置</w:t>
            </w:r>
            <w:r>
              <w:rPr>
                <w:rFonts w:hint="eastAsia"/>
                <w:color w:val="auto"/>
                <w:sz w:val="24"/>
                <w:szCs w:val="24"/>
              </w:rPr>
              <w:t>见附图</w:t>
            </w:r>
            <w:r>
              <w:rPr>
                <w:color w:val="auto"/>
                <w:sz w:val="24"/>
                <w:szCs w:val="24"/>
              </w:rPr>
              <w:t>1</w:t>
            </w:r>
            <w:r>
              <w:rPr>
                <w:rFonts w:hint="eastAsia"/>
                <w:color w:val="auto"/>
                <w:sz w:val="24"/>
                <w:szCs w:val="24"/>
              </w:rPr>
              <w:t>。</w:t>
            </w:r>
          </w:p>
          <w:p>
            <w:pPr>
              <w:spacing w:line="440" w:lineRule="exact"/>
              <w:rPr>
                <w:rFonts w:eastAsiaTheme="minorEastAsia"/>
                <w:b/>
                <w:color w:val="auto"/>
                <w:sz w:val="24"/>
                <w:szCs w:val="24"/>
              </w:rPr>
            </w:pPr>
            <w:r>
              <w:rPr>
                <w:rFonts w:eastAsiaTheme="minorEastAsia"/>
                <w:b/>
                <w:color w:val="auto"/>
                <w:sz w:val="24"/>
                <w:szCs w:val="24"/>
              </w:rPr>
              <w:t>2.2</w:t>
            </w:r>
            <w:r>
              <w:rPr>
                <w:rFonts w:hint="eastAsia" w:eastAsiaTheme="minorEastAsia"/>
                <w:b/>
                <w:color w:val="auto"/>
                <w:sz w:val="24"/>
                <w:szCs w:val="24"/>
              </w:rPr>
              <w:t>地形、地貌、地质</w:t>
            </w:r>
          </w:p>
          <w:p>
            <w:pPr>
              <w:pStyle w:val="1216"/>
              <w:ind w:firstLine="480"/>
              <w:rPr>
                <w:color w:val="auto"/>
              </w:rPr>
            </w:pPr>
            <w:r>
              <w:rPr>
                <w:rFonts w:hint="eastAsia"/>
                <w:color w:val="auto"/>
              </w:rPr>
              <w:t>城步境内崇山峻岭，溪河纵横，地势南高北低，南岭山脉绵亘南境，雪峰山脉耸峙东西，形成东、南、西三面层峦叠嶂，北面丘岗疏落，北部与中部连成狭长平缓地带。县内有</w:t>
            </w:r>
            <w:r>
              <w:rPr>
                <w:color w:val="auto"/>
              </w:rPr>
              <w:t>1000m</w:t>
            </w:r>
            <w:r>
              <w:rPr>
                <w:rFonts w:hint="eastAsia"/>
                <w:color w:val="auto"/>
              </w:rPr>
              <w:t>以上的山峰</w:t>
            </w:r>
            <w:r>
              <w:rPr>
                <w:color w:val="auto"/>
              </w:rPr>
              <w:t>657</w:t>
            </w:r>
            <w:r>
              <w:rPr>
                <w:rFonts w:hint="eastAsia"/>
                <w:color w:val="auto"/>
              </w:rPr>
              <w:t>座，</w:t>
            </w:r>
            <w:r>
              <w:rPr>
                <w:color w:val="auto"/>
              </w:rPr>
              <w:t>1500m</w:t>
            </w:r>
            <w:r>
              <w:rPr>
                <w:rFonts w:hint="eastAsia"/>
                <w:color w:val="auto"/>
              </w:rPr>
              <w:t>以上山峰</w:t>
            </w:r>
            <w:r>
              <w:rPr>
                <w:color w:val="auto"/>
              </w:rPr>
              <w:t>234</w:t>
            </w:r>
            <w:r>
              <w:rPr>
                <w:rFonts w:hint="eastAsia"/>
                <w:color w:val="auto"/>
              </w:rPr>
              <w:t>座，大小溪河</w:t>
            </w:r>
            <w:r>
              <w:rPr>
                <w:color w:val="auto"/>
              </w:rPr>
              <w:t>816</w:t>
            </w:r>
            <w:r>
              <w:rPr>
                <w:rFonts w:hint="eastAsia"/>
                <w:color w:val="auto"/>
              </w:rPr>
              <w:t>条。全县平均海拔</w:t>
            </w:r>
            <w:r>
              <w:rPr>
                <w:color w:val="auto"/>
              </w:rPr>
              <w:t>696.8m</w:t>
            </w:r>
            <w:r>
              <w:rPr>
                <w:rFonts w:hint="eastAsia"/>
                <w:color w:val="auto"/>
              </w:rPr>
              <w:t>，县城海拔</w:t>
            </w:r>
            <w:r>
              <w:rPr>
                <w:color w:val="auto"/>
              </w:rPr>
              <w:t>445m</w:t>
            </w:r>
            <w:r>
              <w:rPr>
                <w:rFonts w:hint="eastAsia"/>
                <w:color w:val="auto"/>
              </w:rPr>
              <w:t>，其平均海拔高度位居全省第二，仅次于桂东县的</w:t>
            </w:r>
            <w:r>
              <w:rPr>
                <w:color w:val="auto"/>
              </w:rPr>
              <w:t>840m</w:t>
            </w:r>
            <w:r>
              <w:rPr>
                <w:rFonts w:hint="eastAsia"/>
                <w:color w:val="auto"/>
              </w:rPr>
              <w:t>，县城海拔高度位居全省第四（次于桂东，汝城，龙山三县）雪峰山脉纵贯县境，东南西三面环山，地势起伏大，东西部高峻，南高北低，呈畚箕形向北敞口。县境以山地为主，丘陵、岗地、溪谷平原兼有。山地占</w:t>
            </w:r>
            <w:r>
              <w:rPr>
                <w:color w:val="auto"/>
              </w:rPr>
              <w:t>90.78%</w:t>
            </w:r>
            <w:r>
              <w:rPr>
                <w:rFonts w:hint="eastAsia"/>
                <w:color w:val="auto"/>
              </w:rPr>
              <w:t>，丘陵占</w:t>
            </w:r>
            <w:r>
              <w:rPr>
                <w:color w:val="auto"/>
              </w:rPr>
              <w:t>2.2%</w:t>
            </w:r>
            <w:r>
              <w:rPr>
                <w:rFonts w:hint="eastAsia"/>
                <w:color w:val="auto"/>
              </w:rPr>
              <w:t>，岗地占</w:t>
            </w:r>
            <w:r>
              <w:rPr>
                <w:color w:val="auto"/>
              </w:rPr>
              <w:t>1.1%</w:t>
            </w:r>
            <w:r>
              <w:rPr>
                <w:rFonts w:hint="eastAsia"/>
                <w:color w:val="auto"/>
              </w:rPr>
              <w:t>，溪谷平原占</w:t>
            </w:r>
            <w:r>
              <w:rPr>
                <w:color w:val="auto"/>
              </w:rPr>
              <w:t>2.7%</w:t>
            </w:r>
            <w:r>
              <w:rPr>
                <w:rFonts w:hint="eastAsia"/>
                <w:color w:val="auto"/>
              </w:rPr>
              <w:t>，水域面积占</w:t>
            </w:r>
            <w:r>
              <w:rPr>
                <w:color w:val="auto"/>
              </w:rPr>
              <w:t>3.22%</w:t>
            </w:r>
            <w:r>
              <w:rPr>
                <w:rFonts w:hint="eastAsia"/>
                <w:color w:val="auto"/>
              </w:rPr>
              <w:t>。</w:t>
            </w:r>
          </w:p>
          <w:p>
            <w:pPr>
              <w:pStyle w:val="1216"/>
              <w:ind w:firstLine="480"/>
              <w:rPr>
                <w:color w:val="auto"/>
              </w:rPr>
            </w:pPr>
            <w:r>
              <w:rPr>
                <w:rFonts w:hint="eastAsia"/>
                <w:color w:val="auto"/>
              </w:rPr>
              <w:t>根据《中国地震参数区划图》，（</w:t>
            </w:r>
            <w:r>
              <w:rPr>
                <w:color w:val="auto"/>
              </w:rPr>
              <w:t>GB18306-2015</w:t>
            </w:r>
            <w:r>
              <w:rPr>
                <w:rFonts w:hint="eastAsia"/>
                <w:color w:val="auto"/>
              </w:rPr>
              <w:t>）城步县地震基本烈度小于六度，建、构筑物不需设防。根据工可报告可知，场址附近共发育有一组断裂，为城步</w:t>
            </w:r>
            <w:r>
              <w:rPr>
                <w:color w:val="auto"/>
              </w:rPr>
              <w:t>-</w:t>
            </w:r>
            <w:r>
              <w:rPr>
                <w:rFonts w:hint="eastAsia"/>
                <w:color w:val="auto"/>
              </w:rPr>
              <w:t>三水断裂。该断裂为逆</w:t>
            </w:r>
            <w:r>
              <w:rPr>
                <w:color w:val="auto"/>
              </w:rPr>
              <w:t>-</w:t>
            </w:r>
            <w:r>
              <w:rPr>
                <w:rFonts w:hint="eastAsia"/>
                <w:color w:val="auto"/>
              </w:rPr>
              <w:t>平移断层，断层线走向</w:t>
            </w:r>
            <w:r>
              <w:rPr>
                <w:color w:val="auto"/>
              </w:rPr>
              <w:t>30°NE</w:t>
            </w:r>
            <w:r>
              <w:rPr>
                <w:rFonts w:hint="eastAsia"/>
                <w:color w:val="auto"/>
              </w:rPr>
              <w:t>，距离储能站拟选站址约为</w:t>
            </w:r>
            <w:r>
              <w:rPr>
                <w:color w:val="auto"/>
              </w:rPr>
              <w:t>1.7km</w:t>
            </w:r>
            <w:r>
              <w:rPr>
                <w:rFonts w:hint="eastAsia"/>
                <w:color w:val="auto"/>
              </w:rPr>
              <w:t>。</w:t>
            </w:r>
          </w:p>
          <w:p>
            <w:pPr>
              <w:autoSpaceDE w:val="0"/>
              <w:autoSpaceDN w:val="0"/>
              <w:adjustRightInd w:val="0"/>
              <w:spacing w:line="360" w:lineRule="auto"/>
              <w:ind w:firstLine="480" w:firstLineChars="200"/>
              <w:rPr>
                <w:color w:val="auto"/>
                <w:sz w:val="24"/>
              </w:rPr>
            </w:pPr>
            <w:r>
              <w:rPr>
                <w:rFonts w:hint="eastAsia"/>
                <w:color w:val="auto"/>
                <w:sz w:val="24"/>
              </w:rPr>
              <w:t>储能电站拟布置于儒林</w:t>
            </w:r>
            <w:r>
              <w:rPr>
                <w:color w:val="auto"/>
                <w:sz w:val="24"/>
              </w:rPr>
              <w:t xml:space="preserve">220kV </w:t>
            </w:r>
            <w:r>
              <w:rPr>
                <w:rFonts w:hint="eastAsia"/>
                <w:color w:val="auto"/>
                <w:sz w:val="24"/>
              </w:rPr>
              <w:t>变的西侧丘陵缓坡上，植被茂密。地形坡度一般</w:t>
            </w:r>
            <w:r>
              <w:rPr>
                <w:color w:val="auto"/>
                <w:sz w:val="24"/>
              </w:rPr>
              <w:t>15°</w:t>
            </w:r>
            <w:r>
              <w:rPr>
                <w:rFonts w:hint="eastAsia"/>
                <w:color w:val="auto"/>
                <w:sz w:val="24"/>
              </w:rPr>
              <w:t>～</w:t>
            </w:r>
            <w:r>
              <w:rPr>
                <w:color w:val="auto"/>
                <w:sz w:val="24"/>
              </w:rPr>
              <w:t>20°</w:t>
            </w:r>
            <w:r>
              <w:rPr>
                <w:rFonts w:hint="eastAsia"/>
                <w:color w:val="auto"/>
                <w:sz w:val="24"/>
              </w:rPr>
              <w:t>，地面高程</w:t>
            </w:r>
            <w:r>
              <w:rPr>
                <w:color w:val="auto"/>
                <w:sz w:val="24"/>
              </w:rPr>
              <w:t>473.50m</w:t>
            </w:r>
            <w:r>
              <w:rPr>
                <w:rFonts w:hint="eastAsia"/>
                <w:color w:val="auto"/>
                <w:sz w:val="24"/>
              </w:rPr>
              <w:t>～</w:t>
            </w:r>
            <w:r>
              <w:rPr>
                <w:color w:val="auto"/>
                <w:sz w:val="24"/>
              </w:rPr>
              <w:t>498.60m</w:t>
            </w:r>
            <w:r>
              <w:rPr>
                <w:rFonts w:hint="eastAsia"/>
                <w:color w:val="auto"/>
                <w:sz w:val="24"/>
              </w:rPr>
              <w:t>。场区未见基岩裸露，地表遍布第四系残坡积覆盖层，下伏为泥盆系中统</w:t>
            </w:r>
            <w:r>
              <w:rPr>
                <w:color w:val="auto"/>
                <w:sz w:val="24"/>
              </w:rPr>
              <w:t>(D2)</w:t>
            </w:r>
            <w:r>
              <w:rPr>
                <w:rFonts w:hint="eastAsia"/>
                <w:color w:val="auto"/>
                <w:sz w:val="24"/>
              </w:rPr>
              <w:t>硅质板岩。站址区地表遍布第四系残坡积覆盖层</w:t>
            </w:r>
            <w:r>
              <w:rPr>
                <w:color w:val="auto"/>
                <w:sz w:val="24"/>
              </w:rPr>
              <w:t>(Qel)</w:t>
            </w:r>
            <w:r>
              <w:rPr>
                <w:rFonts w:hint="eastAsia"/>
                <w:color w:val="auto"/>
                <w:sz w:val="24"/>
              </w:rPr>
              <w:t>，泥盆系中统</w:t>
            </w:r>
            <w:r>
              <w:rPr>
                <w:color w:val="auto"/>
                <w:sz w:val="24"/>
              </w:rPr>
              <w:t>(D2)</w:t>
            </w:r>
            <w:r>
              <w:rPr>
                <w:rFonts w:hint="eastAsia"/>
                <w:color w:val="auto"/>
                <w:sz w:val="24"/>
              </w:rPr>
              <w:t>硅质板岩。各岩土层据其工程地质特性，各层岩性特征简述如下：</w:t>
            </w:r>
          </w:p>
          <w:p>
            <w:pPr>
              <w:autoSpaceDE w:val="0"/>
              <w:autoSpaceDN w:val="0"/>
              <w:adjustRightInd w:val="0"/>
              <w:spacing w:line="360" w:lineRule="auto"/>
              <w:ind w:firstLine="360" w:firstLineChars="150"/>
              <w:rPr>
                <w:color w:val="auto"/>
                <w:sz w:val="24"/>
              </w:rPr>
            </w:pPr>
            <w:r>
              <w:rPr>
                <w:rFonts w:hint="eastAsia"/>
                <w:color w:val="auto"/>
                <w:sz w:val="24"/>
              </w:rPr>
              <w:t>①植被土（</w:t>
            </w:r>
            <w:r>
              <w:rPr>
                <w:color w:val="auto"/>
                <w:sz w:val="24"/>
              </w:rPr>
              <w:t>Qpd</w:t>
            </w:r>
            <w:r>
              <w:rPr>
                <w:rFonts w:hint="eastAsia"/>
                <w:color w:val="auto"/>
                <w:sz w:val="24"/>
              </w:rPr>
              <w:t>）：褐灰、灰色，稍湿，松散，组成物主要为黏性土及植物根茎。层厚</w:t>
            </w:r>
            <w:r>
              <w:rPr>
                <w:color w:val="auto"/>
                <w:sz w:val="24"/>
              </w:rPr>
              <w:t>0.50m</w:t>
            </w:r>
            <w:r>
              <w:rPr>
                <w:rFonts w:hint="eastAsia"/>
                <w:color w:val="auto"/>
                <w:sz w:val="24"/>
              </w:rPr>
              <w:t>。场地内均匀分布。</w:t>
            </w:r>
          </w:p>
          <w:p>
            <w:pPr>
              <w:autoSpaceDE w:val="0"/>
              <w:autoSpaceDN w:val="0"/>
              <w:adjustRightInd w:val="0"/>
              <w:spacing w:line="360" w:lineRule="auto"/>
              <w:ind w:firstLine="360" w:firstLineChars="150"/>
              <w:rPr>
                <w:color w:val="auto"/>
                <w:sz w:val="24"/>
              </w:rPr>
            </w:pPr>
            <w:r>
              <w:rPr>
                <w:rFonts w:hint="eastAsia"/>
                <w:color w:val="auto"/>
                <w:sz w:val="24"/>
              </w:rPr>
              <w:t>②粉质粘土（</w:t>
            </w:r>
            <w:r>
              <w:rPr>
                <w:color w:val="auto"/>
                <w:sz w:val="24"/>
              </w:rPr>
              <w:t>Qel</w:t>
            </w:r>
            <w:r>
              <w:rPr>
                <w:rFonts w:hint="eastAsia"/>
                <w:color w:val="auto"/>
                <w:sz w:val="24"/>
              </w:rPr>
              <w:t>）：褐黄色，稍湿，残积形成，原岩结构较清晰，主要矿物已风化成土，夹少量强风化碎块，稍有光泽，干强度中等，摇震无反应，韧性中等，硬塑状态，局部可塑状态。层厚</w:t>
            </w:r>
            <w:r>
              <w:rPr>
                <w:color w:val="auto"/>
                <w:sz w:val="24"/>
              </w:rPr>
              <w:t>3.50</w:t>
            </w:r>
            <w:r>
              <w:rPr>
                <w:rFonts w:hint="eastAsia"/>
                <w:color w:val="auto"/>
                <w:sz w:val="24"/>
              </w:rPr>
              <w:t>～</w:t>
            </w:r>
            <w:r>
              <w:rPr>
                <w:color w:val="auto"/>
                <w:sz w:val="24"/>
              </w:rPr>
              <w:t>7.50m</w:t>
            </w:r>
            <w:r>
              <w:rPr>
                <w:rFonts w:hint="eastAsia"/>
                <w:color w:val="auto"/>
                <w:sz w:val="24"/>
              </w:rPr>
              <w:t>，场地内均有分布。</w:t>
            </w:r>
          </w:p>
          <w:p>
            <w:pPr>
              <w:autoSpaceDE w:val="0"/>
              <w:autoSpaceDN w:val="0"/>
              <w:adjustRightInd w:val="0"/>
              <w:spacing w:line="360" w:lineRule="auto"/>
              <w:ind w:firstLine="360" w:firstLineChars="150"/>
              <w:rPr>
                <w:color w:val="auto"/>
                <w:sz w:val="24"/>
              </w:rPr>
            </w:pPr>
            <w:r>
              <w:rPr>
                <w:rFonts w:hint="eastAsia"/>
                <w:color w:val="auto"/>
                <w:sz w:val="24"/>
              </w:rPr>
              <w:t>③强风化板岩（</w:t>
            </w:r>
            <w:r>
              <w:rPr>
                <w:color w:val="auto"/>
                <w:sz w:val="24"/>
              </w:rPr>
              <w:t>D2</w:t>
            </w:r>
            <w:r>
              <w:rPr>
                <w:rFonts w:hint="eastAsia"/>
                <w:color w:val="auto"/>
                <w:sz w:val="24"/>
              </w:rPr>
              <w:t>）：灰黑色，强风化，不均匀夹中风化，岩体极破碎，风化裂隙发育，岩质极软，隐晶质结构，中厚层状构造，岩块用手易折断，岩芯遇水易软化，失水易开裂，岩体基本质量等级为Ⅴ级。层厚</w:t>
            </w:r>
            <w:r>
              <w:rPr>
                <w:color w:val="auto"/>
                <w:sz w:val="24"/>
              </w:rPr>
              <w:t>3.20</w:t>
            </w:r>
            <w:r>
              <w:rPr>
                <w:rFonts w:hint="eastAsia"/>
                <w:color w:val="auto"/>
                <w:sz w:val="24"/>
              </w:rPr>
              <w:t>～</w:t>
            </w:r>
            <w:r>
              <w:rPr>
                <w:color w:val="auto"/>
                <w:sz w:val="24"/>
              </w:rPr>
              <w:t>6.70m</w:t>
            </w:r>
            <w:r>
              <w:rPr>
                <w:rFonts w:hint="eastAsia"/>
                <w:color w:val="auto"/>
                <w:sz w:val="24"/>
              </w:rPr>
              <w:t>，场地内均有分布。</w:t>
            </w:r>
          </w:p>
          <w:p>
            <w:pPr>
              <w:autoSpaceDE w:val="0"/>
              <w:autoSpaceDN w:val="0"/>
              <w:adjustRightInd w:val="0"/>
              <w:spacing w:line="360" w:lineRule="auto"/>
              <w:ind w:firstLine="360" w:firstLineChars="150"/>
              <w:rPr>
                <w:color w:val="auto"/>
              </w:rPr>
            </w:pPr>
            <w:r>
              <w:rPr>
                <w:rFonts w:hint="eastAsia"/>
                <w:color w:val="auto"/>
                <w:sz w:val="24"/>
              </w:rPr>
              <w:t>④中风化板岩（</w:t>
            </w:r>
            <w:r>
              <w:rPr>
                <w:color w:val="auto"/>
                <w:sz w:val="24"/>
              </w:rPr>
              <w:t>D2</w:t>
            </w:r>
            <w:r>
              <w:rPr>
                <w:rFonts w:hint="eastAsia"/>
                <w:color w:val="auto"/>
                <w:sz w:val="24"/>
              </w:rPr>
              <w:t>）：灰黑色，较软岩，隐晶质结构，中厚层状构造，岩体较破碎</w:t>
            </w:r>
            <w:r>
              <w:rPr>
                <w:color w:val="auto"/>
                <w:sz w:val="24"/>
              </w:rPr>
              <w:t>-</w:t>
            </w:r>
            <w:r>
              <w:rPr>
                <w:rFonts w:hint="eastAsia"/>
                <w:color w:val="auto"/>
                <w:sz w:val="24"/>
              </w:rPr>
              <w:t>较完整，岩芯碎块</w:t>
            </w:r>
            <w:r>
              <w:rPr>
                <w:color w:val="auto"/>
                <w:sz w:val="24"/>
              </w:rPr>
              <w:t>-</w:t>
            </w:r>
            <w:r>
              <w:rPr>
                <w:rFonts w:hint="eastAsia"/>
                <w:color w:val="auto"/>
                <w:sz w:val="24"/>
              </w:rPr>
              <w:t>短柱状，岩体基本质量等级为</w:t>
            </w:r>
            <w:r>
              <w:rPr>
                <w:color w:val="auto"/>
                <w:sz w:val="24"/>
              </w:rPr>
              <w:t xml:space="preserve">IV </w:t>
            </w:r>
            <w:r>
              <w:rPr>
                <w:rFonts w:hint="eastAsia"/>
                <w:color w:val="auto"/>
                <w:sz w:val="24"/>
              </w:rPr>
              <w:t>级，取芯率约为</w:t>
            </w:r>
            <w:r>
              <w:rPr>
                <w:color w:val="auto"/>
                <w:sz w:val="24"/>
              </w:rPr>
              <w:t>88%</w:t>
            </w:r>
            <w:r>
              <w:rPr>
                <w:rFonts w:hint="eastAsia"/>
                <w:color w:val="auto"/>
                <w:sz w:val="24"/>
              </w:rPr>
              <w:t>，</w:t>
            </w:r>
            <w:r>
              <w:rPr>
                <w:color w:val="auto"/>
                <w:sz w:val="24"/>
              </w:rPr>
              <w:t xml:space="preserve">RQD </w:t>
            </w:r>
            <w:r>
              <w:rPr>
                <w:rFonts w:hint="eastAsia"/>
                <w:color w:val="auto"/>
                <w:sz w:val="24"/>
              </w:rPr>
              <w:t>约为</w:t>
            </w:r>
            <w:r>
              <w:rPr>
                <w:color w:val="auto"/>
                <w:sz w:val="24"/>
              </w:rPr>
              <w:t xml:space="preserve">60 </w:t>
            </w:r>
            <w:r>
              <w:rPr>
                <w:rFonts w:hint="eastAsia"/>
                <w:color w:val="auto"/>
                <w:sz w:val="24"/>
              </w:rPr>
              <w:t>左右。该层为场地下伏基岩，本次勘察未揭穿该层。</w:t>
            </w:r>
          </w:p>
          <w:p>
            <w:pPr>
              <w:autoSpaceDE w:val="0"/>
              <w:autoSpaceDN w:val="0"/>
              <w:adjustRightInd w:val="0"/>
              <w:spacing w:line="360" w:lineRule="auto"/>
              <w:ind w:firstLine="360" w:firstLineChars="150"/>
              <w:rPr>
                <w:color w:val="auto"/>
              </w:rPr>
            </w:pPr>
            <w:r>
              <w:rPr>
                <w:rFonts w:hint="eastAsia"/>
                <w:color w:val="auto"/>
                <w:sz w:val="24"/>
              </w:rPr>
              <w:t>站址地表多被第四系沉积物覆盖，无区域性断裂通过。构造节理裂隙为主。工程区节理裂隙以中倾角为主，岩层整体产状47°NE∠30°。</w:t>
            </w:r>
          </w:p>
          <w:p>
            <w:pPr>
              <w:spacing w:line="360" w:lineRule="auto"/>
              <w:rPr>
                <w:rFonts w:eastAsiaTheme="minorEastAsia"/>
                <w:b/>
                <w:color w:val="auto"/>
                <w:sz w:val="24"/>
                <w:szCs w:val="24"/>
              </w:rPr>
            </w:pPr>
            <w:r>
              <w:rPr>
                <w:rFonts w:eastAsiaTheme="minorEastAsia"/>
                <w:b/>
                <w:color w:val="auto"/>
                <w:sz w:val="24"/>
                <w:szCs w:val="24"/>
              </w:rPr>
              <w:t>2.3</w:t>
            </w:r>
            <w:r>
              <w:rPr>
                <w:rFonts w:hint="eastAsia" w:eastAsiaTheme="minorEastAsia"/>
                <w:b/>
                <w:color w:val="auto"/>
                <w:sz w:val="24"/>
                <w:szCs w:val="24"/>
              </w:rPr>
              <w:t>气象</w:t>
            </w:r>
          </w:p>
          <w:p>
            <w:pPr>
              <w:pStyle w:val="1216"/>
              <w:ind w:firstLine="480"/>
              <w:rPr>
                <w:color w:val="auto"/>
              </w:rPr>
            </w:pPr>
            <w:r>
              <w:rPr>
                <w:rFonts w:hint="eastAsia"/>
                <w:color w:val="auto"/>
              </w:rPr>
              <w:t>城步属中亚热带季风湿润气候，气候特点为四季分明，雨量充沛，冬少严寒，夏少酷暑，春温多变，秋温呈现阶段性急降，山地逆温效应明显，根据</w:t>
            </w:r>
            <w:r>
              <w:rPr>
                <w:color w:val="auto"/>
              </w:rPr>
              <w:t>1956—1989</w:t>
            </w:r>
            <w:r>
              <w:rPr>
                <w:rFonts w:hint="eastAsia"/>
                <w:color w:val="auto"/>
              </w:rPr>
              <w:t>年</w:t>
            </w:r>
            <w:r>
              <w:rPr>
                <w:color w:val="auto"/>
              </w:rPr>
              <w:t>34</w:t>
            </w:r>
            <w:r>
              <w:rPr>
                <w:rFonts w:hint="eastAsia"/>
                <w:color w:val="auto"/>
              </w:rPr>
              <w:t>年的资料统计：历年平均气温16.1℃，最冷月（</w:t>
            </w:r>
            <w:r>
              <w:rPr>
                <w:color w:val="auto"/>
              </w:rPr>
              <w:t>1</w:t>
            </w:r>
            <w:r>
              <w:rPr>
                <w:rFonts w:hint="eastAsia"/>
                <w:color w:val="auto"/>
              </w:rPr>
              <w:t>月）平均气温4.7℃，极端最高气温为38.5℃，出现在</w:t>
            </w:r>
            <w:r>
              <w:rPr>
                <w:color w:val="auto"/>
              </w:rPr>
              <w:t>1963</w:t>
            </w:r>
            <w:r>
              <w:rPr>
                <w:rFonts w:hint="eastAsia"/>
                <w:color w:val="auto"/>
              </w:rPr>
              <w:t>年</w:t>
            </w:r>
            <w:r>
              <w:rPr>
                <w:color w:val="auto"/>
              </w:rPr>
              <w:t>9</w:t>
            </w:r>
            <w:r>
              <w:rPr>
                <w:rFonts w:hint="eastAsia"/>
                <w:color w:val="auto"/>
              </w:rPr>
              <w:t>月</w:t>
            </w:r>
            <w:r>
              <w:rPr>
                <w:color w:val="auto"/>
              </w:rPr>
              <w:t>3</w:t>
            </w:r>
            <w:r>
              <w:rPr>
                <w:rFonts w:hint="eastAsia"/>
                <w:color w:val="auto"/>
              </w:rPr>
              <w:t>日，极端最低气温为-8.1℃，出现在</w:t>
            </w:r>
            <w:r>
              <w:rPr>
                <w:color w:val="auto"/>
              </w:rPr>
              <w:t>1957</w:t>
            </w:r>
            <w:r>
              <w:rPr>
                <w:rFonts w:hint="eastAsia"/>
                <w:color w:val="auto"/>
              </w:rPr>
              <w:t>年</w:t>
            </w:r>
            <w:r>
              <w:rPr>
                <w:color w:val="auto"/>
              </w:rPr>
              <w:t>12</w:t>
            </w:r>
            <w:r>
              <w:rPr>
                <w:rFonts w:hint="eastAsia"/>
                <w:color w:val="auto"/>
              </w:rPr>
              <w:t>月</w:t>
            </w:r>
            <w:r>
              <w:rPr>
                <w:color w:val="auto"/>
              </w:rPr>
              <w:t>11</w:t>
            </w:r>
            <w:r>
              <w:rPr>
                <w:rFonts w:hint="eastAsia"/>
                <w:color w:val="auto"/>
              </w:rPr>
              <w:t>日。大于或等于35℃的高温天气，年平均为</w:t>
            </w:r>
            <w:r>
              <w:rPr>
                <w:color w:val="auto"/>
              </w:rPr>
              <w:t>66</w:t>
            </w:r>
            <w:r>
              <w:rPr>
                <w:rFonts w:hint="eastAsia"/>
                <w:color w:val="auto"/>
              </w:rPr>
              <w:t>天，小于或等于零下5℃的严寒天气，年平均只有</w:t>
            </w:r>
            <w:r>
              <w:rPr>
                <w:color w:val="auto"/>
              </w:rPr>
              <w:t>1.4</w:t>
            </w:r>
            <w:r>
              <w:rPr>
                <w:rFonts w:hint="eastAsia"/>
                <w:color w:val="auto"/>
              </w:rPr>
              <w:t>天。县境年降水量大多数年份在</w:t>
            </w:r>
            <w:r>
              <w:rPr>
                <w:color w:val="auto"/>
              </w:rPr>
              <w:t>1100</w:t>
            </w:r>
            <w:r>
              <w:rPr>
                <w:rFonts w:hint="eastAsia"/>
                <w:color w:val="auto"/>
              </w:rPr>
              <w:t>～</w:t>
            </w:r>
            <w:r>
              <w:rPr>
                <w:color w:val="auto"/>
              </w:rPr>
              <w:t>1400</w:t>
            </w:r>
            <w:r>
              <w:rPr>
                <w:rFonts w:hint="eastAsia"/>
                <w:color w:val="auto"/>
              </w:rPr>
              <w:t>毫米之间，年平均为</w:t>
            </w:r>
            <w:r>
              <w:rPr>
                <w:color w:val="auto"/>
              </w:rPr>
              <w:t>1218.5</w:t>
            </w:r>
            <w:r>
              <w:rPr>
                <w:rFonts w:hint="eastAsia"/>
                <w:color w:val="auto"/>
              </w:rPr>
              <w:t>毫米。全年主导风向为北风，频率为</w:t>
            </w:r>
            <w:r>
              <w:rPr>
                <w:color w:val="auto"/>
              </w:rPr>
              <w:t>22%</w:t>
            </w:r>
            <w:r>
              <w:rPr>
                <w:rFonts w:hint="eastAsia"/>
                <w:color w:val="auto"/>
              </w:rPr>
              <w:t>，最大风速为</w:t>
            </w:r>
            <w:r>
              <w:rPr>
                <w:color w:val="auto"/>
              </w:rPr>
              <w:t>20m/s</w:t>
            </w:r>
            <w:r>
              <w:rPr>
                <w:rFonts w:hint="eastAsia"/>
                <w:color w:val="auto"/>
              </w:rPr>
              <w:t>，平均风速为</w:t>
            </w:r>
            <w:r>
              <w:rPr>
                <w:color w:val="auto"/>
              </w:rPr>
              <w:t>2.4m/s</w:t>
            </w:r>
            <w:r>
              <w:rPr>
                <w:rFonts w:hint="eastAsia"/>
                <w:color w:val="auto"/>
              </w:rPr>
              <w:t>。</w:t>
            </w:r>
          </w:p>
          <w:p>
            <w:pPr>
              <w:spacing w:line="440" w:lineRule="exact"/>
              <w:rPr>
                <w:rFonts w:eastAsiaTheme="minorEastAsia"/>
                <w:b/>
                <w:color w:val="auto"/>
                <w:sz w:val="24"/>
                <w:szCs w:val="24"/>
              </w:rPr>
            </w:pPr>
            <w:r>
              <w:rPr>
                <w:rFonts w:eastAsiaTheme="minorEastAsia"/>
                <w:b/>
                <w:color w:val="auto"/>
                <w:sz w:val="24"/>
                <w:szCs w:val="24"/>
              </w:rPr>
              <w:t>2.4</w:t>
            </w:r>
            <w:r>
              <w:rPr>
                <w:rFonts w:hint="eastAsia" w:eastAsiaTheme="minorEastAsia"/>
                <w:b/>
                <w:color w:val="auto"/>
                <w:sz w:val="24"/>
                <w:szCs w:val="24"/>
              </w:rPr>
              <w:t>水文</w:t>
            </w:r>
          </w:p>
          <w:p>
            <w:pPr>
              <w:pStyle w:val="1216"/>
              <w:ind w:firstLine="480"/>
              <w:rPr>
                <w:color w:val="auto"/>
              </w:rPr>
            </w:pPr>
            <w:r>
              <w:rPr>
                <w:rFonts w:hint="eastAsia"/>
                <w:color w:val="auto"/>
              </w:rPr>
              <w:t>城步苗族自治县地处越城岭山脉与雪峰山脉交会地带，南岭山脉绵亘县域南部，雪峰山脉伸展东西两侧，形成东南西三面天然屏障，唯北部地势稍平，全县平均海拨</w:t>
            </w:r>
            <w:r>
              <w:rPr>
                <w:color w:val="auto"/>
              </w:rPr>
              <w:t>696.8m</w:t>
            </w:r>
            <w:r>
              <w:rPr>
                <w:rFonts w:hint="eastAsia"/>
                <w:color w:val="auto"/>
              </w:rPr>
              <w:t>，地形复杂多样。全县河川水系发育，且全树枝状分布，资水、巫水、渠水与浔江皆发源于境内，有大小溪河</w:t>
            </w:r>
            <w:r>
              <w:rPr>
                <w:color w:val="auto"/>
              </w:rPr>
              <w:t>816</w:t>
            </w:r>
            <w:r>
              <w:rPr>
                <w:rFonts w:hint="eastAsia"/>
                <w:color w:val="auto"/>
              </w:rPr>
              <w:t>条，总长</w:t>
            </w:r>
            <w:r>
              <w:rPr>
                <w:color w:val="auto"/>
              </w:rPr>
              <w:t>4063km</w:t>
            </w:r>
            <w:r>
              <w:rPr>
                <w:rFonts w:hint="eastAsia"/>
                <w:color w:val="auto"/>
              </w:rPr>
              <w:t>，其中河长</w:t>
            </w:r>
            <w:r>
              <w:rPr>
                <w:color w:val="auto"/>
              </w:rPr>
              <w:t>5km</w:t>
            </w:r>
            <w:r>
              <w:rPr>
                <w:rFonts w:hint="eastAsia"/>
                <w:color w:val="auto"/>
              </w:rPr>
              <w:t>，流域面积</w:t>
            </w:r>
            <w:r>
              <w:rPr>
                <w:color w:val="auto"/>
              </w:rPr>
              <w:t>10km</w:t>
            </w:r>
            <w:r>
              <w:rPr>
                <w:color w:val="auto"/>
                <w:vertAlign w:val="superscript"/>
              </w:rPr>
              <w:t>2</w:t>
            </w:r>
            <w:r>
              <w:rPr>
                <w:rFonts w:hint="eastAsia"/>
                <w:color w:val="auto"/>
              </w:rPr>
              <w:t>的干流及一至四级河流</w:t>
            </w:r>
            <w:r>
              <w:rPr>
                <w:color w:val="auto"/>
              </w:rPr>
              <w:t>77</w:t>
            </w:r>
            <w:r>
              <w:rPr>
                <w:rFonts w:hint="eastAsia"/>
                <w:color w:val="auto"/>
              </w:rPr>
              <w:t>条，长</w:t>
            </w:r>
            <w:r>
              <w:rPr>
                <w:color w:val="auto"/>
              </w:rPr>
              <w:t>112km</w:t>
            </w:r>
            <w:r>
              <w:rPr>
                <w:rFonts w:hint="eastAsia"/>
                <w:color w:val="auto"/>
              </w:rPr>
              <w:t>，河呈辐射状从南、西、北三个方面流往县外，分属长江和珠江两大水系，河网密度</w:t>
            </w:r>
            <w:r>
              <w:rPr>
                <w:color w:val="auto"/>
              </w:rPr>
              <w:t>6.56km/km</w:t>
            </w:r>
            <w:r>
              <w:rPr>
                <w:color w:val="auto"/>
                <w:vertAlign w:val="superscript"/>
              </w:rPr>
              <w:t>2</w:t>
            </w:r>
            <w:r>
              <w:rPr>
                <w:rFonts w:hint="eastAsia"/>
                <w:color w:val="auto"/>
              </w:rPr>
              <w:t>，径流总量</w:t>
            </w:r>
            <w:r>
              <w:rPr>
                <w:color w:val="auto"/>
              </w:rPr>
              <w:t>24.89</w:t>
            </w:r>
            <w:r>
              <w:rPr>
                <w:rFonts w:hint="eastAsia"/>
                <w:color w:val="auto"/>
              </w:rPr>
              <w:t>亿</w:t>
            </w:r>
            <w:r>
              <w:rPr>
                <w:color w:val="auto"/>
              </w:rPr>
              <w:t>m</w:t>
            </w:r>
            <w:r>
              <w:rPr>
                <w:color w:val="auto"/>
                <w:vertAlign w:val="superscript"/>
              </w:rPr>
              <w:t>3</w:t>
            </w:r>
            <w:r>
              <w:rPr>
                <w:rFonts w:hint="eastAsia"/>
                <w:color w:val="auto"/>
              </w:rPr>
              <w:t>。</w:t>
            </w:r>
          </w:p>
          <w:p>
            <w:pPr>
              <w:pStyle w:val="85"/>
              <w:spacing w:after="0" w:line="360" w:lineRule="auto"/>
              <w:ind w:firstLine="480" w:firstLineChars="200"/>
              <w:rPr>
                <w:color w:val="auto"/>
                <w:sz w:val="24"/>
                <w:szCs w:val="24"/>
              </w:rPr>
            </w:pPr>
            <w:r>
              <w:rPr>
                <w:rFonts w:hint="eastAsia"/>
                <w:color w:val="auto"/>
                <w:sz w:val="24"/>
                <w:szCs w:val="24"/>
              </w:rPr>
              <w:t>巫水系沅水一级支流，属长江水系，又名运水、竹舟江，发源于湘桂边界的金紫山脉，其上游为金紫山林场和十万古田次原始林区，干流主要流经兰蓉、白毛坪、坪水、儒林等山间盆地，城步县汇入的主要支流为昌鲁水、黄山水、小言水、平水、甘溪、界背河、扶城河、岩背河、清溪等。巫水在城步县境内长度</w:t>
            </w:r>
            <w:r>
              <w:rPr>
                <w:color w:val="auto"/>
                <w:sz w:val="24"/>
                <w:szCs w:val="24"/>
              </w:rPr>
              <w:t>106km</w:t>
            </w:r>
            <w:r>
              <w:rPr>
                <w:rFonts w:hint="eastAsia"/>
                <w:color w:val="auto"/>
                <w:sz w:val="24"/>
                <w:szCs w:val="24"/>
              </w:rPr>
              <w:t>，流域面积</w:t>
            </w:r>
            <w:r>
              <w:rPr>
                <w:color w:val="auto"/>
                <w:sz w:val="24"/>
                <w:szCs w:val="24"/>
              </w:rPr>
              <w:t>1576.4km</w:t>
            </w:r>
            <w:r>
              <w:rPr>
                <w:color w:val="auto"/>
                <w:sz w:val="24"/>
                <w:szCs w:val="24"/>
                <w:vertAlign w:val="superscript"/>
              </w:rPr>
              <w:t>2</w:t>
            </w:r>
            <w:r>
              <w:rPr>
                <w:rFonts w:hint="eastAsia"/>
                <w:color w:val="auto"/>
                <w:sz w:val="24"/>
                <w:szCs w:val="24"/>
              </w:rPr>
              <w:t>，多年平均流量</w:t>
            </w:r>
            <w:r>
              <w:rPr>
                <w:color w:val="auto"/>
                <w:sz w:val="24"/>
                <w:szCs w:val="24"/>
              </w:rPr>
              <w:t>16.9m</w:t>
            </w:r>
            <w:r>
              <w:rPr>
                <w:color w:val="auto"/>
                <w:sz w:val="24"/>
                <w:szCs w:val="24"/>
                <w:vertAlign w:val="superscript"/>
              </w:rPr>
              <w:t>3</w:t>
            </w:r>
            <w:r>
              <w:rPr>
                <w:color w:val="auto"/>
                <w:sz w:val="24"/>
                <w:szCs w:val="24"/>
              </w:rPr>
              <w:t>/s</w:t>
            </w:r>
            <w:r>
              <w:rPr>
                <w:rFonts w:hint="eastAsia"/>
                <w:color w:val="auto"/>
                <w:sz w:val="24"/>
                <w:szCs w:val="24"/>
              </w:rPr>
              <w:t>，历史最大流量</w:t>
            </w:r>
            <w:r>
              <w:rPr>
                <w:color w:val="auto"/>
                <w:sz w:val="24"/>
                <w:szCs w:val="24"/>
              </w:rPr>
              <w:t>2310</w:t>
            </w:r>
            <w:r>
              <w:rPr>
                <w:rFonts w:hint="eastAsia"/>
                <w:color w:val="auto"/>
                <w:sz w:val="24"/>
                <w:szCs w:val="24"/>
              </w:rPr>
              <w:t>（</w:t>
            </w:r>
            <w:r>
              <w:rPr>
                <w:color w:val="auto"/>
                <w:sz w:val="24"/>
                <w:szCs w:val="24"/>
              </w:rPr>
              <w:t>1949</w:t>
            </w:r>
            <w:r>
              <w:rPr>
                <w:rFonts w:hint="eastAsia"/>
                <w:color w:val="auto"/>
                <w:sz w:val="24"/>
                <w:szCs w:val="24"/>
              </w:rPr>
              <w:t>年）</w:t>
            </w:r>
            <w:r>
              <w:rPr>
                <w:color w:val="auto"/>
                <w:sz w:val="24"/>
                <w:szCs w:val="24"/>
              </w:rPr>
              <w:t>m</w:t>
            </w:r>
            <w:r>
              <w:rPr>
                <w:color w:val="auto"/>
                <w:sz w:val="24"/>
                <w:szCs w:val="24"/>
                <w:vertAlign w:val="superscript"/>
              </w:rPr>
              <w:t>3</w:t>
            </w:r>
            <w:r>
              <w:rPr>
                <w:color w:val="auto"/>
                <w:sz w:val="24"/>
                <w:szCs w:val="24"/>
              </w:rPr>
              <w:t>/s</w:t>
            </w:r>
            <w:r>
              <w:rPr>
                <w:rFonts w:hint="eastAsia"/>
                <w:color w:val="auto"/>
                <w:sz w:val="24"/>
                <w:szCs w:val="24"/>
              </w:rPr>
              <w:t>，实测最大流量</w:t>
            </w:r>
            <w:r>
              <w:rPr>
                <w:color w:val="auto"/>
                <w:sz w:val="24"/>
                <w:szCs w:val="24"/>
              </w:rPr>
              <w:t>895 m</w:t>
            </w:r>
            <w:r>
              <w:rPr>
                <w:color w:val="auto"/>
                <w:sz w:val="24"/>
                <w:szCs w:val="24"/>
                <w:vertAlign w:val="superscript"/>
              </w:rPr>
              <w:t>3</w:t>
            </w:r>
            <w:r>
              <w:rPr>
                <w:color w:val="auto"/>
                <w:sz w:val="24"/>
                <w:szCs w:val="24"/>
              </w:rPr>
              <w:t>/s</w:t>
            </w:r>
            <w:r>
              <w:rPr>
                <w:rFonts w:hint="eastAsia"/>
                <w:color w:val="auto"/>
                <w:sz w:val="24"/>
                <w:szCs w:val="24"/>
              </w:rPr>
              <w:t>（</w:t>
            </w:r>
            <w:r>
              <w:rPr>
                <w:color w:val="auto"/>
                <w:sz w:val="24"/>
                <w:szCs w:val="24"/>
              </w:rPr>
              <w:t>1996</w:t>
            </w:r>
            <w:r>
              <w:rPr>
                <w:rFonts w:hint="eastAsia"/>
                <w:color w:val="auto"/>
                <w:sz w:val="24"/>
                <w:szCs w:val="24"/>
              </w:rPr>
              <w:t>年），</w:t>
            </w:r>
            <w:r>
              <w:rPr>
                <w:color w:val="auto"/>
                <w:sz w:val="24"/>
                <w:szCs w:val="24"/>
              </w:rPr>
              <w:t>90%</w:t>
            </w:r>
            <w:r>
              <w:rPr>
                <w:rFonts w:hint="eastAsia"/>
                <w:color w:val="auto"/>
                <w:sz w:val="24"/>
                <w:szCs w:val="24"/>
              </w:rPr>
              <w:t>保证率最枯流量为</w:t>
            </w:r>
            <w:r>
              <w:rPr>
                <w:color w:val="auto"/>
                <w:sz w:val="24"/>
                <w:szCs w:val="24"/>
              </w:rPr>
              <w:t>1.5m</w:t>
            </w:r>
            <w:r>
              <w:rPr>
                <w:color w:val="auto"/>
                <w:sz w:val="24"/>
                <w:szCs w:val="24"/>
                <w:vertAlign w:val="superscript"/>
              </w:rPr>
              <w:t>3</w:t>
            </w:r>
            <w:r>
              <w:rPr>
                <w:color w:val="auto"/>
                <w:sz w:val="24"/>
                <w:szCs w:val="24"/>
              </w:rPr>
              <w:t>/s</w:t>
            </w:r>
            <w:r>
              <w:rPr>
                <w:rFonts w:hint="eastAsia"/>
                <w:color w:val="auto"/>
                <w:sz w:val="24"/>
                <w:szCs w:val="24"/>
              </w:rPr>
              <w:t>，坡度</w:t>
            </w:r>
            <w:r>
              <w:rPr>
                <w:color w:val="auto"/>
                <w:sz w:val="24"/>
                <w:szCs w:val="24"/>
              </w:rPr>
              <w:t>3~6‰</w:t>
            </w:r>
            <w:r>
              <w:rPr>
                <w:rFonts w:hint="eastAsia"/>
                <w:color w:val="auto"/>
                <w:sz w:val="24"/>
                <w:szCs w:val="24"/>
              </w:rPr>
              <w:t>。巫水支流甘溪多年平均流量</w:t>
            </w:r>
            <w:r>
              <w:rPr>
                <w:color w:val="auto"/>
                <w:sz w:val="24"/>
                <w:szCs w:val="24"/>
              </w:rPr>
              <w:t>0.84m</w:t>
            </w:r>
            <w:r>
              <w:rPr>
                <w:color w:val="auto"/>
                <w:sz w:val="24"/>
                <w:szCs w:val="24"/>
                <w:vertAlign w:val="superscript"/>
              </w:rPr>
              <w:t>3</w:t>
            </w:r>
            <w:r>
              <w:rPr>
                <w:color w:val="auto"/>
                <w:sz w:val="24"/>
                <w:szCs w:val="24"/>
              </w:rPr>
              <w:t>/s</w:t>
            </w:r>
            <w:r>
              <w:rPr>
                <w:rFonts w:hint="eastAsia"/>
                <w:color w:val="auto"/>
                <w:sz w:val="24"/>
                <w:szCs w:val="24"/>
              </w:rPr>
              <w:t>，在城步县巫水河南桥上游</w:t>
            </w:r>
            <w:r>
              <w:rPr>
                <w:color w:val="auto"/>
                <w:sz w:val="24"/>
                <w:szCs w:val="24"/>
              </w:rPr>
              <w:t>1km</w:t>
            </w:r>
            <w:r>
              <w:rPr>
                <w:rFonts w:hint="eastAsia"/>
                <w:color w:val="auto"/>
                <w:sz w:val="24"/>
                <w:szCs w:val="24"/>
              </w:rPr>
              <w:t>肖家庄处汇入巫水；界背河多年平均流量</w:t>
            </w:r>
            <w:r>
              <w:rPr>
                <w:color w:val="auto"/>
                <w:sz w:val="24"/>
                <w:szCs w:val="24"/>
              </w:rPr>
              <w:t>8.1m</w:t>
            </w:r>
            <w:r>
              <w:rPr>
                <w:color w:val="auto"/>
                <w:sz w:val="24"/>
                <w:szCs w:val="24"/>
                <w:vertAlign w:val="superscript"/>
              </w:rPr>
              <w:t>3</w:t>
            </w:r>
            <w:r>
              <w:rPr>
                <w:color w:val="auto"/>
                <w:sz w:val="24"/>
                <w:szCs w:val="24"/>
              </w:rPr>
              <w:t>/s</w:t>
            </w:r>
            <w:r>
              <w:rPr>
                <w:rFonts w:hint="eastAsia"/>
                <w:color w:val="auto"/>
                <w:sz w:val="24"/>
                <w:szCs w:val="24"/>
              </w:rPr>
              <w:t>，在城步县巫水河南桥下游</w:t>
            </w:r>
            <w:r>
              <w:rPr>
                <w:color w:val="auto"/>
                <w:sz w:val="24"/>
                <w:szCs w:val="24"/>
              </w:rPr>
              <w:t>2km</w:t>
            </w:r>
            <w:r>
              <w:rPr>
                <w:rFonts w:hint="eastAsia"/>
                <w:color w:val="auto"/>
                <w:sz w:val="24"/>
                <w:szCs w:val="24"/>
              </w:rPr>
              <w:t>处汇入巫水。</w:t>
            </w:r>
            <w:r>
              <w:rPr>
                <w:rFonts w:hint="eastAsia"/>
                <w:color w:val="auto"/>
                <w:kern w:val="0"/>
                <w:sz w:val="24"/>
                <w:szCs w:val="24"/>
              </w:rPr>
              <w:t>据资料介绍，城步县境内巫水河段已开发多级水电站，巫水县城污水厂排污口上游约</w:t>
            </w:r>
            <w:r>
              <w:rPr>
                <w:color w:val="auto"/>
                <w:kern w:val="0"/>
                <w:sz w:val="24"/>
                <w:szCs w:val="24"/>
              </w:rPr>
              <w:t>40km</w:t>
            </w:r>
            <w:r>
              <w:rPr>
                <w:rFonts w:hint="eastAsia"/>
                <w:color w:val="auto"/>
                <w:kern w:val="0"/>
                <w:sz w:val="24"/>
                <w:szCs w:val="24"/>
              </w:rPr>
              <w:t>处有白云水库及白云水电站，白云水库为大二型水库，具有蓄洪和发电作用，</w:t>
            </w:r>
            <w:r>
              <w:rPr>
                <w:color w:val="auto"/>
                <w:sz w:val="24"/>
                <w:szCs w:val="24"/>
              </w:rPr>
              <w:t>白云水电站于1991年动工，总投资4.3亿元，水库控制流域面积556km</w:t>
            </w:r>
            <w:r>
              <w:rPr>
                <w:color w:val="auto"/>
                <w:sz w:val="24"/>
                <w:szCs w:val="24"/>
                <w:vertAlign w:val="superscript"/>
              </w:rPr>
              <w:t>2</w:t>
            </w:r>
            <w:r>
              <w:rPr>
                <w:color w:val="auto"/>
                <w:sz w:val="24"/>
                <w:szCs w:val="24"/>
              </w:rPr>
              <w:t>，多年平均流量16.8立方米/秒，水库大坝高120米，为堆石面板坝，水库库容3.6亿立方米，正常蓄水位为540米，电站设计装机3×1.8万千瓦，合计5.4万千瓦。白云水库为城步县城供水水源。</w:t>
            </w:r>
          </w:p>
          <w:p>
            <w:pPr>
              <w:pStyle w:val="85"/>
              <w:spacing w:after="0" w:line="360" w:lineRule="auto"/>
              <w:ind w:firstLine="482"/>
              <w:rPr>
                <w:rFonts w:eastAsiaTheme="minorEastAsia"/>
                <w:b/>
                <w:color w:val="auto"/>
                <w:sz w:val="24"/>
                <w:szCs w:val="24"/>
              </w:rPr>
            </w:pPr>
            <w:r>
              <w:rPr>
                <w:rFonts w:eastAsiaTheme="minorEastAsia"/>
                <w:b/>
                <w:color w:val="auto"/>
                <w:sz w:val="24"/>
                <w:szCs w:val="24"/>
              </w:rPr>
              <w:t>2.5</w:t>
            </w:r>
            <w:r>
              <w:rPr>
                <w:rFonts w:hint="eastAsia" w:eastAsiaTheme="minorEastAsia"/>
                <w:b/>
                <w:color w:val="auto"/>
                <w:sz w:val="24"/>
                <w:szCs w:val="24"/>
              </w:rPr>
              <w:t>生态环境</w:t>
            </w:r>
          </w:p>
          <w:p>
            <w:pPr>
              <w:pStyle w:val="1216"/>
              <w:ind w:firstLine="480"/>
              <w:rPr>
                <w:color w:val="auto"/>
              </w:rPr>
            </w:pPr>
            <w:r>
              <w:rPr>
                <w:color w:val="auto"/>
              </w:rPr>
              <w:t>1</w:t>
            </w:r>
            <w:r>
              <w:rPr>
                <w:rFonts w:hint="eastAsia"/>
                <w:color w:val="auto"/>
              </w:rPr>
              <w:t>）植物资源现状</w:t>
            </w:r>
          </w:p>
          <w:p>
            <w:pPr>
              <w:pStyle w:val="1216"/>
              <w:ind w:firstLine="480"/>
              <w:rPr>
                <w:color w:val="auto"/>
              </w:rPr>
            </w:pPr>
            <w:r>
              <w:rPr>
                <w:rFonts w:hint="eastAsia"/>
                <w:color w:val="auto"/>
              </w:rPr>
              <w:t>城步县境内属中亚热带北部常绿阔叶林带，湘西山地植被带，植被地理属性为热带、亚热带居多。主要植被类型有针叶林、阔叶林、灌丛、草甸、沼泽植被、农田植被等，其中，针叶林树种有马尾松、杉木、黄山松等，阔叶林树种有钩栗、紫楠、楠木等，灌丛主要由白栎、映山红、白茅等群落组成，草甸主要包括青茅、野石草、芒草、映山红、五节芒等草丛，沼泽植被主要有江南桤木林、庐山蔗草、蕨装苔草等，农田植被主要由农作物组成，有水稻、小麦、油菜、绿肥及各类蔬菜等。</w:t>
            </w:r>
          </w:p>
          <w:p>
            <w:pPr>
              <w:pStyle w:val="1216"/>
              <w:ind w:firstLine="480"/>
              <w:rPr>
                <w:color w:val="auto"/>
              </w:rPr>
            </w:pPr>
            <w:r>
              <w:rPr>
                <w:color w:val="auto"/>
              </w:rPr>
              <w:t>2</w:t>
            </w:r>
            <w:r>
              <w:rPr>
                <w:rFonts w:hint="eastAsia"/>
                <w:color w:val="auto"/>
              </w:rPr>
              <w:t>）动物资源现状</w:t>
            </w:r>
          </w:p>
          <w:p>
            <w:pPr>
              <w:pStyle w:val="1216"/>
              <w:ind w:firstLine="480"/>
              <w:rPr>
                <w:color w:val="auto"/>
              </w:rPr>
            </w:pPr>
            <w:r>
              <w:rPr>
                <w:rFonts w:hint="eastAsia"/>
                <w:color w:val="auto"/>
              </w:rPr>
              <w:t>评价区域内由于人类活动频繁，区域内野生动物较少，主要以鼠型啮齿类和食谷、食虫的鸟类为主，以青蛙、蛇、老鼠、杜鹃、乌鸦、斑鸠等为主，还有种类和数量众多的昆虫。水生鱼类资源主要有草鱼、鲤鱼、鲫鱼、青鱼、鲢鱼等。</w:t>
            </w:r>
          </w:p>
          <w:p>
            <w:pPr>
              <w:pStyle w:val="1216"/>
              <w:spacing w:line="440" w:lineRule="exact"/>
              <w:ind w:firstLine="480"/>
              <w:rPr>
                <w:color w:val="auto"/>
              </w:rPr>
            </w:pPr>
            <w:r>
              <w:rPr>
                <w:rFonts w:hint="eastAsia"/>
                <w:color w:val="auto"/>
              </w:rPr>
              <w:t>区内调查未发现野生珍稀濒危动物种类。</w:t>
            </w:r>
          </w:p>
          <w:p>
            <w:pPr>
              <w:spacing w:line="440" w:lineRule="exact"/>
              <w:rPr>
                <w:b/>
                <w:color w:val="auto"/>
                <w:sz w:val="28"/>
              </w:rPr>
            </w:pPr>
            <w:r>
              <w:rPr>
                <w:b/>
                <w:color w:val="auto"/>
                <w:sz w:val="28"/>
              </w:rPr>
              <w:t xml:space="preserve">2.6 </w:t>
            </w:r>
            <w:r>
              <w:rPr>
                <w:rFonts w:hint="eastAsia"/>
                <w:b/>
                <w:color w:val="auto"/>
                <w:sz w:val="28"/>
              </w:rPr>
              <w:t>环境敏感区及主要环境保护目标</w:t>
            </w:r>
          </w:p>
          <w:p>
            <w:pPr>
              <w:spacing w:line="440" w:lineRule="exact"/>
              <w:rPr>
                <w:b/>
                <w:color w:val="auto"/>
                <w:sz w:val="24"/>
                <w:szCs w:val="24"/>
              </w:rPr>
            </w:pPr>
            <w:r>
              <w:rPr>
                <w:b/>
                <w:color w:val="auto"/>
                <w:sz w:val="24"/>
                <w:szCs w:val="24"/>
              </w:rPr>
              <w:t xml:space="preserve">2.6.1 </w:t>
            </w:r>
            <w:r>
              <w:rPr>
                <w:rFonts w:hint="eastAsia"/>
                <w:b/>
                <w:color w:val="auto"/>
                <w:sz w:val="24"/>
                <w:szCs w:val="24"/>
              </w:rPr>
              <w:t>生态保护目标</w:t>
            </w:r>
          </w:p>
          <w:p>
            <w:pPr>
              <w:spacing w:line="440" w:lineRule="exact"/>
              <w:ind w:firstLine="480"/>
              <w:rPr>
                <w:rFonts w:eastAsiaTheme="minorEastAsia"/>
                <w:color w:val="auto"/>
                <w:sz w:val="24"/>
                <w:szCs w:val="24"/>
              </w:rPr>
            </w:pPr>
            <w:r>
              <w:rPr>
                <w:rFonts w:hint="eastAsia" w:eastAsiaTheme="minorEastAsia"/>
                <w:color w:val="auto"/>
                <w:sz w:val="24"/>
                <w:szCs w:val="24"/>
              </w:rPr>
              <w:t>经调查核实，本工程不涉及《建设项目环境影响评价分类管理名录》（环境保护部令第</w:t>
            </w:r>
            <w:r>
              <w:rPr>
                <w:rFonts w:eastAsiaTheme="minorEastAsia"/>
                <w:color w:val="auto"/>
                <w:sz w:val="24"/>
                <w:szCs w:val="24"/>
              </w:rPr>
              <w:t xml:space="preserve"> 44 </w:t>
            </w:r>
            <w:r>
              <w:rPr>
                <w:rFonts w:hint="eastAsia" w:eastAsiaTheme="minorEastAsia"/>
                <w:color w:val="auto"/>
                <w:sz w:val="24"/>
                <w:szCs w:val="24"/>
              </w:rPr>
              <w:t>号）中的第（一）类环境敏感区，即不涉及自然保护区、风景名胜区、世界文化和自然遗产地和饮用水水源保护区等生态环境保护目标。</w:t>
            </w:r>
          </w:p>
          <w:p>
            <w:pPr>
              <w:spacing w:line="440" w:lineRule="exact"/>
              <w:rPr>
                <w:b/>
                <w:color w:val="auto"/>
                <w:sz w:val="24"/>
                <w:szCs w:val="24"/>
              </w:rPr>
            </w:pPr>
            <w:r>
              <w:rPr>
                <w:b/>
                <w:color w:val="auto"/>
                <w:sz w:val="24"/>
                <w:szCs w:val="24"/>
              </w:rPr>
              <w:t xml:space="preserve">2.6.2 </w:t>
            </w:r>
            <w:r>
              <w:rPr>
                <w:rFonts w:hint="eastAsia"/>
                <w:b/>
                <w:color w:val="auto"/>
                <w:sz w:val="24"/>
                <w:szCs w:val="24"/>
              </w:rPr>
              <w:t>电磁环境与声环境保护目标</w:t>
            </w:r>
          </w:p>
          <w:p>
            <w:pPr>
              <w:spacing w:line="440" w:lineRule="exact"/>
              <w:ind w:firstLine="588" w:firstLineChars="245"/>
              <w:rPr>
                <w:rFonts w:eastAsiaTheme="minorEastAsia"/>
                <w:color w:val="auto"/>
                <w:sz w:val="24"/>
                <w:szCs w:val="24"/>
              </w:rPr>
            </w:pPr>
            <w:r>
              <w:rPr>
                <w:rFonts w:hint="eastAsia" w:eastAsiaTheme="minorEastAsia"/>
                <w:color w:val="auto"/>
                <w:sz w:val="24"/>
                <w:szCs w:val="24"/>
              </w:rPr>
              <w:t>根据现场踏勘及调查，本工程变电站</w:t>
            </w:r>
            <w:r>
              <w:rPr>
                <w:rFonts w:eastAsiaTheme="minorEastAsia"/>
                <w:color w:val="auto"/>
                <w:sz w:val="24"/>
                <w:szCs w:val="24"/>
              </w:rPr>
              <w:t>50m</w:t>
            </w:r>
            <w:r>
              <w:rPr>
                <w:rFonts w:hint="eastAsia" w:eastAsiaTheme="minorEastAsia"/>
                <w:color w:val="auto"/>
                <w:sz w:val="24"/>
                <w:szCs w:val="24"/>
              </w:rPr>
              <w:t>评价范围内无电磁环境及声环境敏感点。</w:t>
            </w:r>
          </w:p>
          <w:p>
            <w:pPr>
              <w:spacing w:line="440" w:lineRule="exact"/>
              <w:rPr>
                <w:b/>
                <w:color w:val="auto"/>
                <w:sz w:val="24"/>
                <w:szCs w:val="24"/>
              </w:rPr>
            </w:pPr>
            <w:r>
              <w:rPr>
                <w:b/>
                <w:color w:val="auto"/>
                <w:sz w:val="24"/>
                <w:szCs w:val="24"/>
              </w:rPr>
              <w:t xml:space="preserve">2.6.3 </w:t>
            </w:r>
            <w:r>
              <w:rPr>
                <w:rFonts w:hint="eastAsia"/>
                <w:b/>
                <w:color w:val="auto"/>
                <w:sz w:val="24"/>
                <w:szCs w:val="24"/>
              </w:rPr>
              <w:t>水环境保护目标</w:t>
            </w:r>
          </w:p>
          <w:p>
            <w:pPr>
              <w:spacing w:line="440" w:lineRule="exact"/>
              <w:ind w:firstLine="480" w:firstLineChars="200"/>
              <w:rPr>
                <w:rFonts w:eastAsiaTheme="minorEastAsia"/>
                <w:color w:val="auto"/>
                <w:sz w:val="24"/>
                <w:szCs w:val="24"/>
              </w:rPr>
            </w:pPr>
            <w:r>
              <w:rPr>
                <w:rFonts w:hint="eastAsia" w:eastAsiaTheme="minorEastAsia"/>
                <w:color w:val="auto"/>
                <w:sz w:val="24"/>
                <w:szCs w:val="24"/>
              </w:rPr>
              <w:t>根据现场踏勘及调查，项目所在区域无大型河流，多为溪沟，水体功能均为农田灌溉用水，无饮用水功能。</w:t>
            </w: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80" w:firstLineChars="200"/>
              <w:rPr>
                <w:rFonts w:eastAsiaTheme="minorEastAsia"/>
                <w:color w:val="auto"/>
                <w:sz w:val="24"/>
                <w:szCs w:val="24"/>
              </w:rPr>
            </w:pPr>
          </w:p>
          <w:p>
            <w:pPr>
              <w:spacing w:line="440" w:lineRule="exact"/>
              <w:ind w:firstLine="420" w:firstLineChars="200"/>
              <w:rPr>
                <w:color w:val="auto"/>
              </w:rPr>
            </w:pPr>
          </w:p>
        </w:tc>
      </w:tr>
    </w:tbl>
    <w:p>
      <w:pPr>
        <w:rPr>
          <w:color w:val="auto"/>
        </w:rPr>
      </w:pPr>
      <w:bookmarkStart w:id="14" w:name="_Toc40447921"/>
      <w:bookmarkStart w:id="15" w:name="_Toc244053168"/>
      <w:r>
        <w:rPr>
          <w:color w:val="auto"/>
        </w:rPr>
        <w:br w:type="page"/>
      </w:r>
    </w:p>
    <w:p>
      <w:pPr>
        <w:pStyle w:val="5"/>
        <w:adjustRightInd w:val="0"/>
        <w:snapToGrid w:val="0"/>
        <w:spacing w:line="360" w:lineRule="auto"/>
        <w:ind w:left="108"/>
        <w:jc w:val="both"/>
        <w:rPr>
          <w:b/>
          <w:color w:val="auto"/>
          <w:sz w:val="30"/>
          <w:szCs w:val="30"/>
        </w:rPr>
      </w:pPr>
      <w:r>
        <w:rPr>
          <w:rFonts w:hint="eastAsia"/>
          <w:b/>
          <w:color w:val="auto"/>
          <w:sz w:val="30"/>
          <w:szCs w:val="30"/>
        </w:rPr>
        <w:t>三、环境质量状况</w:t>
      </w:r>
      <w:bookmarkEnd w:id="14"/>
      <w:bookmarkEnd w:id="15"/>
    </w:p>
    <w:tbl>
      <w:tblPr>
        <w:tblStyle w:val="86"/>
        <w:tblW w:w="923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23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 w:hRule="atLeast"/>
          <w:jc w:val="center"/>
        </w:trPr>
        <w:tc>
          <w:tcPr>
            <w:tcW w:w="9232" w:type="dxa"/>
            <w:vAlign w:val="center"/>
          </w:tcPr>
          <w:p>
            <w:pPr>
              <w:spacing w:line="360" w:lineRule="auto"/>
              <w:rPr>
                <w:b/>
                <w:color w:val="auto"/>
                <w:sz w:val="28"/>
                <w:szCs w:val="24"/>
              </w:rPr>
            </w:pPr>
            <w:r>
              <w:rPr>
                <w:rFonts w:hint="eastAsia"/>
                <w:b/>
                <w:color w:val="auto"/>
                <w:sz w:val="28"/>
                <w:szCs w:val="24"/>
              </w:rPr>
              <w:t>建设项目所在地区域环境质量现状及主要环境问题</w:t>
            </w:r>
          </w:p>
          <w:p>
            <w:pPr>
              <w:spacing w:line="360" w:lineRule="auto"/>
              <w:ind w:firstLine="540"/>
              <w:rPr>
                <w:color w:val="auto"/>
                <w:sz w:val="24"/>
                <w:szCs w:val="24"/>
              </w:rPr>
            </w:pPr>
            <w:r>
              <w:rPr>
                <w:rFonts w:hint="eastAsia"/>
                <w:color w:val="auto"/>
                <w:sz w:val="24"/>
                <w:szCs w:val="24"/>
              </w:rPr>
              <w:t>儒林</w:t>
            </w:r>
            <w:r>
              <w:rPr>
                <w:color w:val="auto"/>
                <w:sz w:val="24"/>
                <w:szCs w:val="24"/>
              </w:rPr>
              <w:t>100MW/200MWh</w:t>
            </w:r>
            <w:r>
              <w:rPr>
                <w:rFonts w:hint="eastAsia"/>
                <w:color w:val="auto"/>
                <w:sz w:val="24"/>
                <w:szCs w:val="24"/>
              </w:rPr>
              <w:t>储能电站项目营运期的主要环境影响为电磁环境、声环境。为了解工程所在区域的电磁环境、声环境和生态现状，对该区域的环境质量现状进行了调查分析。</w:t>
            </w:r>
          </w:p>
          <w:p>
            <w:pPr>
              <w:spacing w:line="360" w:lineRule="auto"/>
              <w:rPr>
                <w:b/>
                <w:color w:val="auto"/>
                <w:sz w:val="28"/>
              </w:rPr>
            </w:pPr>
            <w:r>
              <w:rPr>
                <w:b/>
                <w:color w:val="auto"/>
                <w:sz w:val="28"/>
              </w:rPr>
              <w:t xml:space="preserve">3.1 </w:t>
            </w:r>
            <w:r>
              <w:rPr>
                <w:rFonts w:hint="eastAsia"/>
                <w:b/>
                <w:color w:val="auto"/>
                <w:sz w:val="28"/>
              </w:rPr>
              <w:t>声环境</w:t>
            </w:r>
          </w:p>
          <w:p>
            <w:pPr>
              <w:spacing w:line="360" w:lineRule="auto"/>
              <w:ind w:firstLine="480" w:firstLineChars="200"/>
              <w:rPr>
                <w:iCs/>
                <w:color w:val="auto"/>
                <w:sz w:val="24"/>
                <w:szCs w:val="24"/>
              </w:rPr>
            </w:pPr>
            <w:r>
              <w:rPr>
                <w:rFonts w:hint="eastAsia"/>
                <w:iCs/>
                <w:color w:val="auto"/>
                <w:sz w:val="24"/>
                <w:szCs w:val="24"/>
              </w:rPr>
              <w:t>由于本工程位于城步</w:t>
            </w:r>
            <w:r>
              <w:rPr>
                <w:rFonts w:hint="eastAsia"/>
                <w:color w:val="auto"/>
                <w:sz w:val="24"/>
              </w:rPr>
              <w:t>儒林</w:t>
            </w:r>
            <w:r>
              <w:rPr>
                <w:color w:val="auto"/>
                <w:sz w:val="24"/>
              </w:rPr>
              <w:t xml:space="preserve">220kV </w:t>
            </w:r>
            <w:r>
              <w:rPr>
                <w:rFonts w:hint="eastAsia"/>
                <w:color w:val="auto"/>
                <w:sz w:val="24"/>
              </w:rPr>
              <w:t>变电站西侧</w:t>
            </w:r>
            <w:r>
              <w:rPr>
                <w:rFonts w:hint="eastAsia"/>
                <w:iCs/>
                <w:color w:val="auto"/>
                <w:sz w:val="24"/>
                <w:szCs w:val="24"/>
              </w:rPr>
              <w:t>，本次评价对拟建场界四周噪声进行了现状监测，并将监测结果作为评价依据。</w:t>
            </w:r>
          </w:p>
          <w:p>
            <w:pPr>
              <w:spacing w:line="360" w:lineRule="auto"/>
              <w:ind w:firstLine="480" w:firstLineChars="200"/>
              <w:rPr>
                <w:iCs/>
                <w:color w:val="auto"/>
                <w:sz w:val="24"/>
                <w:szCs w:val="24"/>
              </w:rPr>
            </w:pPr>
            <w:r>
              <w:rPr>
                <w:rFonts w:hint="eastAsia"/>
                <w:iCs/>
                <w:color w:val="auto"/>
                <w:sz w:val="24"/>
                <w:szCs w:val="24"/>
              </w:rPr>
              <w:t>（</w:t>
            </w:r>
            <w:r>
              <w:rPr>
                <w:iCs/>
                <w:color w:val="auto"/>
                <w:sz w:val="24"/>
                <w:szCs w:val="24"/>
              </w:rPr>
              <w:t>1</w:t>
            </w:r>
            <w:r>
              <w:rPr>
                <w:rFonts w:hint="eastAsia"/>
                <w:iCs/>
                <w:color w:val="auto"/>
                <w:sz w:val="24"/>
                <w:szCs w:val="24"/>
              </w:rPr>
              <w:t>）监测项目</w:t>
            </w:r>
          </w:p>
          <w:p>
            <w:pPr>
              <w:spacing w:line="360" w:lineRule="auto"/>
              <w:ind w:firstLine="480" w:firstLineChars="200"/>
              <w:rPr>
                <w:iCs/>
                <w:color w:val="auto"/>
                <w:sz w:val="24"/>
                <w:szCs w:val="24"/>
              </w:rPr>
            </w:pPr>
            <w:r>
              <w:rPr>
                <w:rFonts w:hint="eastAsia"/>
                <w:iCs/>
                <w:color w:val="auto"/>
                <w:sz w:val="24"/>
                <w:szCs w:val="24"/>
              </w:rPr>
              <w:t>等效连续</w:t>
            </w:r>
            <w:r>
              <w:rPr>
                <w:iCs/>
                <w:color w:val="auto"/>
                <w:sz w:val="24"/>
                <w:szCs w:val="24"/>
              </w:rPr>
              <w:t>A</w:t>
            </w:r>
            <w:r>
              <w:rPr>
                <w:rFonts w:hint="eastAsia"/>
                <w:iCs/>
                <w:color w:val="auto"/>
                <w:sz w:val="24"/>
                <w:szCs w:val="24"/>
              </w:rPr>
              <w:t>声级。</w:t>
            </w:r>
          </w:p>
          <w:p>
            <w:pPr>
              <w:spacing w:line="360" w:lineRule="auto"/>
              <w:ind w:firstLine="480" w:firstLineChars="200"/>
              <w:rPr>
                <w:iCs/>
                <w:color w:val="auto"/>
                <w:sz w:val="24"/>
                <w:szCs w:val="24"/>
              </w:rPr>
            </w:pPr>
            <w:r>
              <w:rPr>
                <w:rFonts w:hint="eastAsia"/>
                <w:iCs/>
                <w:color w:val="auto"/>
                <w:sz w:val="24"/>
                <w:szCs w:val="24"/>
              </w:rPr>
              <w:t>（</w:t>
            </w:r>
            <w:r>
              <w:rPr>
                <w:iCs/>
                <w:color w:val="auto"/>
                <w:sz w:val="24"/>
                <w:szCs w:val="24"/>
              </w:rPr>
              <w:t>2</w:t>
            </w:r>
            <w:r>
              <w:rPr>
                <w:rFonts w:hint="eastAsia"/>
                <w:iCs/>
                <w:color w:val="auto"/>
                <w:sz w:val="24"/>
                <w:szCs w:val="24"/>
              </w:rPr>
              <w:t>）监测单位</w:t>
            </w:r>
          </w:p>
          <w:p>
            <w:pPr>
              <w:spacing w:line="360" w:lineRule="auto"/>
              <w:ind w:firstLine="480" w:firstLineChars="200"/>
              <w:rPr>
                <w:iCs/>
                <w:color w:val="auto"/>
                <w:sz w:val="24"/>
                <w:szCs w:val="24"/>
              </w:rPr>
            </w:pPr>
            <w:r>
              <w:rPr>
                <w:rFonts w:hint="eastAsia"/>
                <w:iCs/>
                <w:color w:val="auto"/>
                <w:sz w:val="24"/>
                <w:szCs w:val="24"/>
              </w:rPr>
              <w:t>核工业二三〇研究所</w:t>
            </w:r>
          </w:p>
          <w:p>
            <w:pPr>
              <w:spacing w:line="360" w:lineRule="auto"/>
              <w:ind w:firstLine="480" w:firstLineChars="200"/>
              <w:rPr>
                <w:iCs/>
                <w:color w:val="auto"/>
                <w:sz w:val="24"/>
                <w:szCs w:val="24"/>
              </w:rPr>
            </w:pPr>
            <w:r>
              <w:rPr>
                <w:rFonts w:hint="eastAsia"/>
                <w:iCs/>
                <w:color w:val="auto"/>
                <w:sz w:val="24"/>
                <w:szCs w:val="24"/>
              </w:rPr>
              <w:t>（</w:t>
            </w:r>
            <w:r>
              <w:rPr>
                <w:iCs/>
                <w:color w:val="auto"/>
                <w:sz w:val="24"/>
                <w:szCs w:val="24"/>
              </w:rPr>
              <w:t>3</w:t>
            </w:r>
            <w:r>
              <w:rPr>
                <w:rFonts w:hint="eastAsia"/>
                <w:iCs/>
                <w:color w:val="auto"/>
                <w:sz w:val="24"/>
                <w:szCs w:val="24"/>
              </w:rPr>
              <w:t>）监测时间、监测频率、监测工况</w:t>
            </w:r>
          </w:p>
          <w:p>
            <w:pPr>
              <w:spacing w:line="360" w:lineRule="auto"/>
              <w:ind w:firstLine="480" w:firstLineChars="200"/>
              <w:rPr>
                <w:iCs/>
                <w:color w:val="auto"/>
                <w:sz w:val="24"/>
                <w:szCs w:val="24"/>
              </w:rPr>
            </w:pPr>
            <w:r>
              <w:rPr>
                <w:rFonts w:hint="eastAsia"/>
                <w:iCs/>
                <w:color w:val="auto"/>
                <w:sz w:val="24"/>
                <w:szCs w:val="24"/>
              </w:rPr>
              <w:t>监测时间：</w:t>
            </w:r>
            <w:r>
              <w:rPr>
                <w:iCs/>
                <w:color w:val="auto"/>
                <w:sz w:val="24"/>
                <w:szCs w:val="24"/>
              </w:rPr>
              <w:t>2020</w:t>
            </w:r>
            <w:r>
              <w:rPr>
                <w:rFonts w:hint="eastAsia"/>
                <w:iCs/>
                <w:color w:val="auto"/>
                <w:sz w:val="24"/>
                <w:szCs w:val="24"/>
              </w:rPr>
              <w:t>年</w:t>
            </w:r>
            <w:r>
              <w:rPr>
                <w:iCs/>
                <w:color w:val="auto"/>
                <w:sz w:val="24"/>
                <w:szCs w:val="24"/>
              </w:rPr>
              <w:t>11</w:t>
            </w:r>
            <w:r>
              <w:rPr>
                <w:rFonts w:hint="eastAsia"/>
                <w:iCs/>
                <w:color w:val="auto"/>
                <w:sz w:val="24"/>
                <w:szCs w:val="24"/>
              </w:rPr>
              <w:t>月</w:t>
            </w:r>
            <w:r>
              <w:rPr>
                <w:iCs/>
                <w:color w:val="auto"/>
                <w:sz w:val="24"/>
                <w:szCs w:val="24"/>
              </w:rPr>
              <w:t>19</w:t>
            </w:r>
            <w:r>
              <w:rPr>
                <w:rFonts w:hint="eastAsia"/>
                <w:iCs/>
                <w:color w:val="auto"/>
                <w:sz w:val="24"/>
                <w:szCs w:val="24"/>
              </w:rPr>
              <w:t>日</w:t>
            </w:r>
            <w:r>
              <w:rPr>
                <w:iCs/>
                <w:color w:val="auto"/>
                <w:sz w:val="24"/>
                <w:szCs w:val="24"/>
              </w:rPr>
              <w:t xml:space="preserve">      </w:t>
            </w:r>
          </w:p>
          <w:p>
            <w:pPr>
              <w:spacing w:line="360" w:lineRule="auto"/>
              <w:ind w:firstLine="480" w:firstLineChars="200"/>
              <w:rPr>
                <w:iCs/>
                <w:color w:val="auto"/>
                <w:sz w:val="24"/>
                <w:szCs w:val="24"/>
              </w:rPr>
            </w:pPr>
            <w:r>
              <w:rPr>
                <w:rFonts w:hint="eastAsia"/>
                <w:iCs/>
                <w:color w:val="auto"/>
                <w:sz w:val="24"/>
                <w:szCs w:val="24"/>
              </w:rPr>
              <w:t>监测频率：每个监测点昼、夜各监测一次</w:t>
            </w:r>
          </w:p>
          <w:p>
            <w:pPr>
              <w:spacing w:line="360" w:lineRule="auto"/>
              <w:ind w:firstLine="480" w:firstLineChars="200"/>
              <w:rPr>
                <w:iCs/>
                <w:color w:val="auto"/>
                <w:sz w:val="24"/>
                <w:szCs w:val="24"/>
              </w:rPr>
            </w:pPr>
            <w:r>
              <w:rPr>
                <w:rFonts w:hint="eastAsia"/>
                <w:iCs/>
                <w:color w:val="auto"/>
                <w:sz w:val="24"/>
                <w:szCs w:val="24"/>
              </w:rPr>
              <w:t>（</w:t>
            </w:r>
            <w:r>
              <w:rPr>
                <w:iCs/>
                <w:color w:val="auto"/>
                <w:sz w:val="24"/>
                <w:szCs w:val="24"/>
              </w:rPr>
              <w:t>4</w:t>
            </w:r>
            <w:r>
              <w:rPr>
                <w:rFonts w:hint="eastAsia"/>
                <w:iCs/>
                <w:color w:val="auto"/>
                <w:sz w:val="24"/>
                <w:szCs w:val="24"/>
              </w:rPr>
              <w:t>）监测方法及测量仪器</w:t>
            </w:r>
          </w:p>
          <w:p>
            <w:pPr>
              <w:spacing w:line="360" w:lineRule="auto"/>
              <w:ind w:firstLine="480" w:firstLineChars="200"/>
              <w:rPr>
                <w:iCs/>
                <w:color w:val="auto"/>
                <w:sz w:val="24"/>
                <w:szCs w:val="24"/>
              </w:rPr>
            </w:pPr>
            <w:r>
              <w:rPr>
                <w:rFonts w:hint="eastAsia"/>
                <w:iCs/>
                <w:color w:val="auto"/>
                <w:sz w:val="24"/>
                <w:szCs w:val="24"/>
              </w:rPr>
              <w:t>按照《声环境质量标准》（</w:t>
            </w:r>
            <w:r>
              <w:rPr>
                <w:iCs/>
                <w:color w:val="auto"/>
                <w:sz w:val="24"/>
                <w:szCs w:val="24"/>
              </w:rPr>
              <w:t>GB3096-2008</w:t>
            </w:r>
            <w:r>
              <w:rPr>
                <w:rFonts w:hint="eastAsia"/>
                <w:iCs/>
                <w:color w:val="auto"/>
                <w:sz w:val="24"/>
                <w:szCs w:val="24"/>
              </w:rPr>
              <w:t>）执行。所用监测仪器型号详见表</w:t>
            </w:r>
            <w:r>
              <w:rPr>
                <w:iCs/>
                <w:color w:val="auto"/>
                <w:sz w:val="24"/>
                <w:szCs w:val="24"/>
              </w:rPr>
              <w:t>3-1</w:t>
            </w:r>
            <w:r>
              <w:rPr>
                <w:rFonts w:hint="eastAsia"/>
                <w:iCs/>
                <w:color w:val="auto"/>
                <w:sz w:val="24"/>
                <w:szCs w:val="24"/>
              </w:rPr>
              <w:t>。</w:t>
            </w:r>
          </w:p>
          <w:p>
            <w:pPr>
              <w:spacing w:line="360" w:lineRule="auto"/>
              <w:ind w:firstLine="422" w:firstLineChars="200"/>
              <w:jc w:val="center"/>
              <w:rPr>
                <w:b/>
                <w:iCs/>
                <w:color w:val="auto"/>
                <w:szCs w:val="21"/>
              </w:rPr>
            </w:pPr>
            <w:r>
              <w:rPr>
                <w:rFonts w:hint="eastAsia"/>
                <w:b/>
                <w:iCs/>
                <w:color w:val="auto"/>
                <w:szCs w:val="21"/>
              </w:rPr>
              <w:t>表</w:t>
            </w:r>
            <w:r>
              <w:rPr>
                <w:b/>
                <w:iCs/>
                <w:color w:val="auto"/>
                <w:szCs w:val="21"/>
              </w:rPr>
              <w:t xml:space="preserve">3-1  </w:t>
            </w:r>
            <w:r>
              <w:rPr>
                <w:rFonts w:hint="eastAsia"/>
                <w:b/>
                <w:iCs/>
                <w:color w:val="auto"/>
                <w:szCs w:val="21"/>
              </w:rPr>
              <w:t>噪声监测仪器基本情况</w:t>
            </w:r>
          </w:p>
          <w:tbl>
            <w:tblPr>
              <w:tblStyle w:val="86"/>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392"/>
              <w:gridCol w:w="661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28" w:type="pct"/>
                  <w:vAlign w:val="center"/>
                </w:tcPr>
                <w:p>
                  <w:pPr>
                    <w:adjustRightInd w:val="0"/>
                    <w:snapToGrid w:val="0"/>
                    <w:spacing w:line="400" w:lineRule="exact"/>
                    <w:jc w:val="center"/>
                    <w:rPr>
                      <w:b/>
                      <w:bCs/>
                      <w:color w:val="auto"/>
                      <w:szCs w:val="21"/>
                    </w:rPr>
                  </w:pPr>
                  <w:r>
                    <w:rPr>
                      <w:rFonts w:hint="eastAsia"/>
                      <w:b/>
                      <w:bCs/>
                      <w:color w:val="auto"/>
                      <w:szCs w:val="21"/>
                    </w:rPr>
                    <w:t>仪器型号</w:t>
                  </w:r>
                </w:p>
              </w:tc>
              <w:tc>
                <w:tcPr>
                  <w:tcW w:w="3672" w:type="pct"/>
                  <w:vAlign w:val="center"/>
                </w:tcPr>
                <w:p>
                  <w:pPr>
                    <w:spacing w:line="400" w:lineRule="exact"/>
                    <w:jc w:val="center"/>
                    <w:rPr>
                      <w:color w:val="auto"/>
                      <w:szCs w:val="21"/>
                    </w:rPr>
                  </w:pPr>
                  <w:r>
                    <w:rPr>
                      <w:color w:val="auto"/>
                      <w:szCs w:val="21"/>
                    </w:rPr>
                    <w:t>AWA6228+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28" w:type="pct"/>
                  <w:vAlign w:val="center"/>
                </w:tcPr>
                <w:p>
                  <w:pPr>
                    <w:adjustRightInd w:val="0"/>
                    <w:snapToGrid w:val="0"/>
                    <w:spacing w:line="400" w:lineRule="exact"/>
                    <w:jc w:val="center"/>
                    <w:rPr>
                      <w:b/>
                      <w:bCs/>
                      <w:color w:val="auto"/>
                      <w:szCs w:val="21"/>
                    </w:rPr>
                  </w:pPr>
                  <w:r>
                    <w:rPr>
                      <w:rFonts w:hint="eastAsia"/>
                      <w:b/>
                      <w:bCs/>
                      <w:color w:val="auto"/>
                      <w:szCs w:val="21"/>
                    </w:rPr>
                    <w:t>生产厂家</w:t>
                  </w:r>
                </w:p>
              </w:tc>
              <w:tc>
                <w:tcPr>
                  <w:tcW w:w="3672" w:type="pct"/>
                  <w:vAlign w:val="center"/>
                </w:tcPr>
                <w:p>
                  <w:pPr>
                    <w:spacing w:line="400" w:lineRule="exact"/>
                    <w:jc w:val="center"/>
                    <w:rPr>
                      <w:color w:val="auto"/>
                      <w:kern w:val="0"/>
                      <w:szCs w:val="21"/>
                    </w:rPr>
                  </w:pPr>
                  <w:r>
                    <w:rPr>
                      <w:rFonts w:hint="eastAsia"/>
                      <w:color w:val="auto"/>
                      <w:kern w:val="0"/>
                      <w:szCs w:val="21"/>
                    </w:rPr>
                    <w:t>杭州爱华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28" w:type="pct"/>
                  <w:vAlign w:val="center"/>
                </w:tcPr>
                <w:p>
                  <w:pPr>
                    <w:adjustRightInd w:val="0"/>
                    <w:snapToGrid w:val="0"/>
                    <w:spacing w:line="400" w:lineRule="exact"/>
                    <w:jc w:val="center"/>
                    <w:rPr>
                      <w:b/>
                      <w:bCs/>
                      <w:color w:val="auto"/>
                      <w:szCs w:val="21"/>
                    </w:rPr>
                  </w:pPr>
                  <w:r>
                    <w:rPr>
                      <w:rFonts w:hint="eastAsia"/>
                      <w:b/>
                      <w:bCs/>
                      <w:color w:val="auto"/>
                      <w:szCs w:val="21"/>
                    </w:rPr>
                    <w:t>检定单位</w:t>
                  </w:r>
                </w:p>
              </w:tc>
              <w:tc>
                <w:tcPr>
                  <w:tcW w:w="3672" w:type="pct"/>
                  <w:vAlign w:val="center"/>
                </w:tcPr>
                <w:p>
                  <w:pPr>
                    <w:spacing w:line="400" w:lineRule="exact"/>
                    <w:jc w:val="center"/>
                    <w:rPr>
                      <w:color w:val="auto"/>
                      <w:szCs w:val="21"/>
                    </w:rPr>
                  </w:pPr>
                  <w:r>
                    <w:rPr>
                      <w:rFonts w:hint="eastAsia"/>
                      <w:color w:val="auto"/>
                      <w:szCs w:val="21"/>
                    </w:rPr>
                    <w:t>湖南省计量检测研究院</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28" w:type="pct"/>
                  <w:vAlign w:val="center"/>
                </w:tcPr>
                <w:p>
                  <w:pPr>
                    <w:adjustRightInd w:val="0"/>
                    <w:snapToGrid w:val="0"/>
                    <w:spacing w:line="400" w:lineRule="exact"/>
                    <w:jc w:val="center"/>
                    <w:rPr>
                      <w:b/>
                      <w:bCs/>
                      <w:color w:val="auto"/>
                      <w:szCs w:val="21"/>
                    </w:rPr>
                  </w:pPr>
                  <w:r>
                    <w:rPr>
                      <w:rFonts w:hint="eastAsia"/>
                      <w:b/>
                      <w:bCs/>
                      <w:color w:val="auto"/>
                      <w:szCs w:val="21"/>
                    </w:rPr>
                    <w:t>证书编号</w:t>
                  </w:r>
                </w:p>
              </w:tc>
              <w:tc>
                <w:tcPr>
                  <w:tcW w:w="3672" w:type="pct"/>
                  <w:vAlign w:val="center"/>
                </w:tcPr>
                <w:p>
                  <w:pPr>
                    <w:spacing w:line="400" w:lineRule="exact"/>
                    <w:jc w:val="center"/>
                    <w:rPr>
                      <w:color w:val="auto"/>
                      <w:kern w:val="0"/>
                      <w:szCs w:val="21"/>
                    </w:rPr>
                  </w:pPr>
                  <w:r>
                    <w:rPr>
                      <w:color w:val="auto"/>
                      <w:kern w:val="0"/>
                      <w:szCs w:val="21"/>
                    </w:rPr>
                    <w:t>2020090405759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28" w:type="pct"/>
                  <w:vAlign w:val="center"/>
                </w:tcPr>
                <w:p>
                  <w:pPr>
                    <w:adjustRightInd w:val="0"/>
                    <w:snapToGrid w:val="0"/>
                    <w:spacing w:line="400" w:lineRule="exact"/>
                    <w:jc w:val="center"/>
                    <w:rPr>
                      <w:b/>
                      <w:bCs/>
                      <w:color w:val="auto"/>
                      <w:szCs w:val="21"/>
                    </w:rPr>
                  </w:pPr>
                  <w:r>
                    <w:rPr>
                      <w:rFonts w:hint="eastAsia"/>
                      <w:b/>
                      <w:bCs/>
                      <w:color w:val="auto"/>
                      <w:szCs w:val="21"/>
                    </w:rPr>
                    <w:t>有效期</w:t>
                  </w:r>
                </w:p>
              </w:tc>
              <w:tc>
                <w:tcPr>
                  <w:tcW w:w="3672" w:type="pct"/>
                  <w:vAlign w:val="center"/>
                </w:tcPr>
                <w:p>
                  <w:pPr>
                    <w:spacing w:line="400" w:lineRule="exact"/>
                    <w:jc w:val="center"/>
                    <w:rPr>
                      <w:color w:val="auto"/>
                      <w:szCs w:val="21"/>
                    </w:rPr>
                  </w:pPr>
                  <w:r>
                    <w:rPr>
                      <w:color w:val="auto"/>
                      <w:szCs w:val="21"/>
                    </w:rPr>
                    <w:t>2021</w:t>
                  </w:r>
                  <w:r>
                    <w:rPr>
                      <w:rFonts w:hint="eastAsia"/>
                      <w:color w:val="auto"/>
                      <w:szCs w:val="21"/>
                    </w:rPr>
                    <w:t>年</w:t>
                  </w:r>
                  <w:r>
                    <w:rPr>
                      <w:color w:val="auto"/>
                      <w:szCs w:val="21"/>
                    </w:rPr>
                    <w:t>7</w:t>
                  </w:r>
                  <w:r>
                    <w:rPr>
                      <w:rFonts w:hint="eastAsia"/>
                      <w:color w:val="auto"/>
                      <w:szCs w:val="21"/>
                    </w:rPr>
                    <w:t>月</w:t>
                  </w:r>
                  <w:r>
                    <w:rPr>
                      <w:color w:val="auto"/>
                      <w:szCs w:val="21"/>
                    </w:rPr>
                    <w:t>13</w:t>
                  </w:r>
                  <w:r>
                    <w:rPr>
                      <w:rFonts w:hint="eastAsia"/>
                      <w:color w:val="auto"/>
                      <w:szCs w:val="21"/>
                    </w:rPr>
                    <w:t>日</w:t>
                  </w:r>
                </w:p>
              </w:tc>
            </w:tr>
          </w:tbl>
          <w:p>
            <w:pPr>
              <w:spacing w:line="360" w:lineRule="auto"/>
              <w:ind w:firstLine="480" w:firstLineChars="200"/>
              <w:rPr>
                <w:iCs/>
                <w:color w:val="auto"/>
                <w:sz w:val="24"/>
                <w:szCs w:val="24"/>
              </w:rPr>
            </w:pPr>
            <w:r>
              <w:rPr>
                <w:rFonts w:hint="eastAsia"/>
                <w:iCs/>
                <w:color w:val="auto"/>
                <w:sz w:val="24"/>
                <w:szCs w:val="24"/>
              </w:rPr>
              <w:t>（</w:t>
            </w:r>
            <w:r>
              <w:rPr>
                <w:iCs/>
                <w:color w:val="auto"/>
                <w:sz w:val="24"/>
                <w:szCs w:val="24"/>
              </w:rPr>
              <w:t>5</w:t>
            </w:r>
            <w:r>
              <w:rPr>
                <w:rFonts w:hint="eastAsia"/>
                <w:iCs/>
                <w:color w:val="auto"/>
                <w:sz w:val="24"/>
                <w:szCs w:val="24"/>
              </w:rPr>
              <w:t>）监测结果</w:t>
            </w:r>
          </w:p>
          <w:p>
            <w:pPr>
              <w:spacing w:line="360" w:lineRule="auto"/>
              <w:ind w:firstLine="480" w:firstLineChars="200"/>
              <w:rPr>
                <w:iCs/>
                <w:color w:val="auto"/>
                <w:sz w:val="24"/>
                <w:szCs w:val="24"/>
              </w:rPr>
            </w:pPr>
            <w:r>
              <w:rPr>
                <w:rFonts w:hint="eastAsia"/>
                <w:iCs/>
                <w:color w:val="auto"/>
                <w:sz w:val="24"/>
                <w:szCs w:val="24"/>
              </w:rPr>
              <w:t>详细监测数据见表</w:t>
            </w:r>
            <w:r>
              <w:rPr>
                <w:iCs/>
                <w:color w:val="auto"/>
                <w:sz w:val="24"/>
                <w:szCs w:val="24"/>
              </w:rPr>
              <w:t>3-2</w:t>
            </w:r>
            <w:r>
              <w:rPr>
                <w:rFonts w:hint="eastAsia"/>
                <w:iCs/>
                <w:color w:val="auto"/>
                <w:sz w:val="24"/>
                <w:szCs w:val="24"/>
              </w:rPr>
              <w:t>。</w:t>
            </w:r>
          </w:p>
          <w:p>
            <w:pPr>
              <w:spacing w:line="360" w:lineRule="auto"/>
              <w:ind w:firstLine="422" w:firstLineChars="200"/>
              <w:jc w:val="center"/>
              <w:rPr>
                <w:b/>
                <w:color w:val="auto"/>
                <w:szCs w:val="21"/>
              </w:rPr>
            </w:pPr>
          </w:p>
          <w:p>
            <w:pPr>
              <w:spacing w:line="360" w:lineRule="auto"/>
              <w:ind w:firstLine="422" w:firstLineChars="200"/>
              <w:jc w:val="center"/>
              <w:rPr>
                <w:b/>
                <w:color w:val="auto"/>
                <w:szCs w:val="21"/>
              </w:rPr>
            </w:pPr>
          </w:p>
          <w:p>
            <w:pPr>
              <w:spacing w:line="360" w:lineRule="auto"/>
              <w:ind w:firstLine="422" w:firstLineChars="200"/>
              <w:jc w:val="center"/>
              <w:rPr>
                <w:b/>
                <w:color w:val="auto"/>
                <w:szCs w:val="21"/>
              </w:rPr>
            </w:pPr>
          </w:p>
          <w:p>
            <w:pPr>
              <w:spacing w:line="360" w:lineRule="auto"/>
              <w:ind w:firstLine="422" w:firstLineChars="200"/>
              <w:jc w:val="center"/>
              <w:rPr>
                <w:b/>
                <w:color w:val="auto"/>
                <w:szCs w:val="21"/>
              </w:rPr>
            </w:pPr>
            <w:r>
              <w:rPr>
                <w:rFonts w:hint="eastAsia"/>
                <w:b/>
                <w:color w:val="auto"/>
                <w:szCs w:val="21"/>
              </w:rPr>
              <w:t>表</w:t>
            </w:r>
            <w:r>
              <w:rPr>
                <w:b/>
                <w:color w:val="auto"/>
                <w:szCs w:val="21"/>
              </w:rPr>
              <w:t xml:space="preserve">3-2  </w:t>
            </w:r>
            <w:r>
              <w:rPr>
                <w:rFonts w:hint="eastAsia"/>
                <w:b/>
                <w:color w:val="auto"/>
                <w:szCs w:val="21"/>
              </w:rPr>
              <w:t>拟建场界四周噪声监测结果一览表</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8"/>
              <w:gridCol w:w="1418"/>
              <w:gridCol w:w="2268"/>
              <w:gridCol w:w="1219"/>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pct"/>
                  <w:vAlign w:val="center"/>
                </w:tcPr>
                <w:p>
                  <w:pPr>
                    <w:jc w:val="center"/>
                    <w:rPr>
                      <w:color w:val="auto"/>
                      <w:szCs w:val="21"/>
                    </w:rPr>
                  </w:pPr>
                  <w:r>
                    <w:rPr>
                      <w:rFonts w:hint="eastAsia"/>
                      <w:color w:val="auto"/>
                      <w:szCs w:val="21"/>
                    </w:rPr>
                    <w:t>监测点位</w:t>
                  </w:r>
                </w:p>
              </w:tc>
              <w:tc>
                <w:tcPr>
                  <w:tcW w:w="787" w:type="pct"/>
                  <w:vAlign w:val="center"/>
                </w:tcPr>
                <w:p>
                  <w:pPr>
                    <w:jc w:val="center"/>
                    <w:rPr>
                      <w:color w:val="auto"/>
                      <w:szCs w:val="21"/>
                    </w:rPr>
                  </w:pPr>
                  <w:r>
                    <w:rPr>
                      <w:rFonts w:hint="eastAsia"/>
                      <w:color w:val="auto"/>
                      <w:szCs w:val="21"/>
                    </w:rPr>
                    <w:t>时段</w:t>
                  </w:r>
                </w:p>
              </w:tc>
              <w:tc>
                <w:tcPr>
                  <w:tcW w:w="1259" w:type="pct"/>
                  <w:vAlign w:val="center"/>
                </w:tcPr>
                <w:p>
                  <w:pPr>
                    <w:jc w:val="center"/>
                    <w:rPr>
                      <w:color w:val="auto"/>
                      <w:szCs w:val="21"/>
                    </w:rPr>
                  </w:pPr>
                  <w:r>
                    <w:rPr>
                      <w:color w:val="auto"/>
                      <w:szCs w:val="21"/>
                    </w:rPr>
                    <w:t>11</w:t>
                  </w:r>
                  <w:r>
                    <w:rPr>
                      <w:rFonts w:hint="eastAsia"/>
                      <w:color w:val="auto"/>
                      <w:szCs w:val="21"/>
                    </w:rPr>
                    <w:t>月</w:t>
                  </w:r>
                  <w:r>
                    <w:rPr>
                      <w:color w:val="auto"/>
                      <w:szCs w:val="21"/>
                    </w:rPr>
                    <w:t>19</w:t>
                  </w:r>
                  <w:r>
                    <w:rPr>
                      <w:rFonts w:hint="eastAsia"/>
                      <w:color w:val="auto"/>
                      <w:szCs w:val="21"/>
                    </w:rPr>
                    <w:t>日</w:t>
                  </w:r>
                </w:p>
              </w:tc>
              <w:tc>
                <w:tcPr>
                  <w:tcW w:w="677" w:type="pct"/>
                  <w:vAlign w:val="center"/>
                </w:tcPr>
                <w:p>
                  <w:pPr>
                    <w:jc w:val="center"/>
                    <w:rPr>
                      <w:color w:val="auto"/>
                      <w:szCs w:val="21"/>
                    </w:rPr>
                  </w:pPr>
                  <w:r>
                    <w:rPr>
                      <w:rFonts w:hint="eastAsia"/>
                      <w:color w:val="auto"/>
                      <w:szCs w:val="21"/>
                    </w:rPr>
                    <w:t>评价标准</w:t>
                  </w:r>
                </w:p>
              </w:tc>
              <w:tc>
                <w:tcPr>
                  <w:tcW w:w="1051" w:type="pct"/>
                  <w:vAlign w:val="center"/>
                </w:tcPr>
                <w:p>
                  <w:pPr>
                    <w:jc w:val="center"/>
                    <w:rPr>
                      <w:color w:val="auto"/>
                      <w:szCs w:val="21"/>
                    </w:rPr>
                  </w:pPr>
                  <w:r>
                    <w:rPr>
                      <w:rFonts w:hint="eastAsia"/>
                      <w:color w:val="auto"/>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pct"/>
                  <w:vAlign w:val="center"/>
                </w:tcPr>
                <w:p>
                  <w:pPr>
                    <w:jc w:val="center"/>
                    <w:rPr>
                      <w:color w:val="auto"/>
                      <w:szCs w:val="21"/>
                    </w:rPr>
                  </w:pPr>
                  <w:r>
                    <w:rPr>
                      <w:rFonts w:hint="eastAsia"/>
                      <w:color w:val="auto"/>
                      <w:szCs w:val="21"/>
                    </w:rPr>
                    <w:t>拟建厂界东侧</w:t>
                  </w:r>
                  <w:r>
                    <w:rPr>
                      <w:color w:val="auto"/>
                      <w:szCs w:val="21"/>
                    </w:rPr>
                    <w:t>1#</w:t>
                  </w:r>
                </w:p>
              </w:tc>
              <w:tc>
                <w:tcPr>
                  <w:tcW w:w="787" w:type="pct"/>
                  <w:vMerge w:val="restart"/>
                  <w:vAlign w:val="center"/>
                </w:tcPr>
                <w:p>
                  <w:pPr>
                    <w:jc w:val="center"/>
                    <w:rPr>
                      <w:color w:val="auto"/>
                      <w:szCs w:val="21"/>
                    </w:rPr>
                  </w:pPr>
                  <w:r>
                    <w:rPr>
                      <w:rFonts w:hint="eastAsia"/>
                      <w:color w:val="auto"/>
                      <w:szCs w:val="21"/>
                    </w:rPr>
                    <w:t>昼间</w:t>
                  </w:r>
                </w:p>
              </w:tc>
              <w:tc>
                <w:tcPr>
                  <w:tcW w:w="1259" w:type="pct"/>
                  <w:vAlign w:val="center"/>
                </w:tcPr>
                <w:p>
                  <w:pPr>
                    <w:jc w:val="center"/>
                    <w:rPr>
                      <w:color w:val="auto"/>
                      <w:szCs w:val="21"/>
                    </w:rPr>
                  </w:pPr>
                  <w:r>
                    <w:rPr>
                      <w:color w:val="auto"/>
                      <w:szCs w:val="21"/>
                    </w:rPr>
                    <w:t>47.6</w:t>
                  </w:r>
                </w:p>
              </w:tc>
              <w:tc>
                <w:tcPr>
                  <w:tcW w:w="677" w:type="pct"/>
                  <w:vAlign w:val="center"/>
                </w:tcPr>
                <w:p>
                  <w:pPr>
                    <w:jc w:val="center"/>
                    <w:rPr>
                      <w:color w:val="auto"/>
                      <w:szCs w:val="21"/>
                    </w:rPr>
                  </w:pPr>
                  <w:r>
                    <w:rPr>
                      <w:color w:val="auto"/>
                      <w:szCs w:val="21"/>
                    </w:rPr>
                    <w:t>60</w:t>
                  </w:r>
                </w:p>
              </w:tc>
              <w:tc>
                <w:tcPr>
                  <w:tcW w:w="1051" w:type="pct"/>
                  <w:vAlign w:val="center"/>
                </w:tcPr>
                <w:p>
                  <w:pPr>
                    <w:jc w:val="center"/>
                    <w:rPr>
                      <w:color w:val="auto"/>
                      <w:szCs w:val="21"/>
                    </w:rPr>
                  </w:pPr>
                  <w:r>
                    <w:rPr>
                      <w:rFonts w:hint="eastAsia"/>
                      <w:color w:val="auto"/>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pct"/>
                  <w:vAlign w:val="center"/>
                </w:tcPr>
                <w:p>
                  <w:pPr>
                    <w:jc w:val="center"/>
                    <w:rPr>
                      <w:color w:val="auto"/>
                      <w:szCs w:val="21"/>
                    </w:rPr>
                  </w:pPr>
                  <w:r>
                    <w:rPr>
                      <w:rFonts w:hint="eastAsia"/>
                      <w:color w:val="auto"/>
                      <w:szCs w:val="21"/>
                    </w:rPr>
                    <w:t>拟建厂界南侧</w:t>
                  </w:r>
                  <w:r>
                    <w:rPr>
                      <w:color w:val="auto"/>
                      <w:szCs w:val="21"/>
                    </w:rPr>
                    <w:t>2#</w:t>
                  </w:r>
                </w:p>
              </w:tc>
              <w:tc>
                <w:tcPr>
                  <w:tcW w:w="787" w:type="pct"/>
                  <w:vMerge w:val="continue"/>
                  <w:vAlign w:val="center"/>
                </w:tcPr>
                <w:p>
                  <w:pPr>
                    <w:jc w:val="center"/>
                    <w:rPr>
                      <w:color w:val="auto"/>
                      <w:szCs w:val="21"/>
                    </w:rPr>
                  </w:pPr>
                </w:p>
              </w:tc>
              <w:tc>
                <w:tcPr>
                  <w:tcW w:w="1259" w:type="pct"/>
                  <w:vAlign w:val="center"/>
                </w:tcPr>
                <w:p>
                  <w:pPr>
                    <w:jc w:val="center"/>
                    <w:rPr>
                      <w:color w:val="auto"/>
                      <w:szCs w:val="21"/>
                    </w:rPr>
                  </w:pPr>
                  <w:r>
                    <w:rPr>
                      <w:color w:val="auto"/>
                      <w:szCs w:val="21"/>
                    </w:rPr>
                    <w:t>46.9</w:t>
                  </w:r>
                </w:p>
              </w:tc>
              <w:tc>
                <w:tcPr>
                  <w:tcW w:w="677" w:type="pct"/>
                  <w:vAlign w:val="center"/>
                </w:tcPr>
                <w:p>
                  <w:pPr>
                    <w:jc w:val="center"/>
                    <w:rPr>
                      <w:color w:val="auto"/>
                      <w:szCs w:val="21"/>
                    </w:rPr>
                  </w:pPr>
                  <w:r>
                    <w:rPr>
                      <w:color w:val="auto"/>
                      <w:szCs w:val="21"/>
                    </w:rPr>
                    <w:t>60</w:t>
                  </w:r>
                </w:p>
              </w:tc>
              <w:tc>
                <w:tcPr>
                  <w:tcW w:w="1051" w:type="pct"/>
                  <w:vAlign w:val="center"/>
                </w:tcPr>
                <w:p>
                  <w:pPr>
                    <w:jc w:val="center"/>
                    <w:rPr>
                      <w:color w:val="auto"/>
                      <w:szCs w:val="21"/>
                    </w:rPr>
                  </w:pPr>
                  <w:r>
                    <w:rPr>
                      <w:rFonts w:hint="eastAsia"/>
                      <w:color w:val="auto"/>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pct"/>
                  <w:vAlign w:val="center"/>
                </w:tcPr>
                <w:p>
                  <w:pPr>
                    <w:jc w:val="center"/>
                    <w:rPr>
                      <w:color w:val="auto"/>
                      <w:szCs w:val="21"/>
                    </w:rPr>
                  </w:pPr>
                  <w:r>
                    <w:rPr>
                      <w:rFonts w:hint="eastAsia"/>
                      <w:color w:val="auto"/>
                      <w:szCs w:val="21"/>
                    </w:rPr>
                    <w:t>拟建厂界西侧</w:t>
                  </w:r>
                  <w:r>
                    <w:rPr>
                      <w:color w:val="auto"/>
                      <w:szCs w:val="21"/>
                    </w:rPr>
                    <w:t>3#</w:t>
                  </w:r>
                </w:p>
              </w:tc>
              <w:tc>
                <w:tcPr>
                  <w:tcW w:w="787" w:type="pct"/>
                  <w:vMerge w:val="continue"/>
                  <w:vAlign w:val="center"/>
                </w:tcPr>
                <w:p>
                  <w:pPr>
                    <w:jc w:val="center"/>
                    <w:rPr>
                      <w:color w:val="auto"/>
                      <w:szCs w:val="21"/>
                    </w:rPr>
                  </w:pPr>
                </w:p>
              </w:tc>
              <w:tc>
                <w:tcPr>
                  <w:tcW w:w="1259" w:type="pct"/>
                  <w:vAlign w:val="center"/>
                </w:tcPr>
                <w:p>
                  <w:pPr>
                    <w:jc w:val="center"/>
                    <w:rPr>
                      <w:color w:val="auto"/>
                      <w:szCs w:val="21"/>
                    </w:rPr>
                  </w:pPr>
                  <w:r>
                    <w:rPr>
                      <w:color w:val="auto"/>
                      <w:szCs w:val="21"/>
                    </w:rPr>
                    <w:t>52.8</w:t>
                  </w:r>
                </w:p>
              </w:tc>
              <w:tc>
                <w:tcPr>
                  <w:tcW w:w="677" w:type="pct"/>
                  <w:vAlign w:val="center"/>
                </w:tcPr>
                <w:p>
                  <w:pPr>
                    <w:jc w:val="center"/>
                    <w:rPr>
                      <w:color w:val="auto"/>
                      <w:szCs w:val="21"/>
                    </w:rPr>
                  </w:pPr>
                  <w:r>
                    <w:rPr>
                      <w:color w:val="auto"/>
                      <w:szCs w:val="21"/>
                    </w:rPr>
                    <w:t>60</w:t>
                  </w:r>
                </w:p>
              </w:tc>
              <w:tc>
                <w:tcPr>
                  <w:tcW w:w="1051" w:type="pct"/>
                  <w:vAlign w:val="center"/>
                </w:tcPr>
                <w:p>
                  <w:pPr>
                    <w:jc w:val="center"/>
                    <w:rPr>
                      <w:color w:val="auto"/>
                      <w:szCs w:val="21"/>
                    </w:rPr>
                  </w:pPr>
                  <w:r>
                    <w:rPr>
                      <w:rFonts w:hint="eastAsia"/>
                      <w:color w:val="auto"/>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pct"/>
                  <w:vAlign w:val="center"/>
                </w:tcPr>
                <w:p>
                  <w:pPr>
                    <w:jc w:val="center"/>
                    <w:rPr>
                      <w:color w:val="auto"/>
                      <w:szCs w:val="21"/>
                    </w:rPr>
                  </w:pPr>
                  <w:r>
                    <w:rPr>
                      <w:rFonts w:hint="eastAsia"/>
                      <w:color w:val="auto"/>
                      <w:szCs w:val="21"/>
                    </w:rPr>
                    <w:t>拟建厂界北侧</w:t>
                  </w:r>
                  <w:r>
                    <w:rPr>
                      <w:color w:val="auto"/>
                      <w:szCs w:val="21"/>
                    </w:rPr>
                    <w:t>4#</w:t>
                  </w:r>
                </w:p>
              </w:tc>
              <w:tc>
                <w:tcPr>
                  <w:tcW w:w="787" w:type="pct"/>
                  <w:vMerge w:val="continue"/>
                  <w:vAlign w:val="center"/>
                </w:tcPr>
                <w:p>
                  <w:pPr>
                    <w:jc w:val="center"/>
                    <w:rPr>
                      <w:color w:val="auto"/>
                      <w:szCs w:val="21"/>
                    </w:rPr>
                  </w:pPr>
                </w:p>
              </w:tc>
              <w:tc>
                <w:tcPr>
                  <w:tcW w:w="1259" w:type="pct"/>
                  <w:vAlign w:val="center"/>
                </w:tcPr>
                <w:p>
                  <w:pPr>
                    <w:jc w:val="center"/>
                    <w:rPr>
                      <w:color w:val="auto"/>
                      <w:szCs w:val="21"/>
                    </w:rPr>
                  </w:pPr>
                  <w:r>
                    <w:rPr>
                      <w:color w:val="auto"/>
                      <w:szCs w:val="21"/>
                    </w:rPr>
                    <w:t>45.8</w:t>
                  </w:r>
                </w:p>
              </w:tc>
              <w:tc>
                <w:tcPr>
                  <w:tcW w:w="677" w:type="pct"/>
                  <w:vAlign w:val="center"/>
                </w:tcPr>
                <w:p>
                  <w:pPr>
                    <w:jc w:val="center"/>
                    <w:rPr>
                      <w:color w:val="auto"/>
                      <w:szCs w:val="21"/>
                    </w:rPr>
                  </w:pPr>
                  <w:r>
                    <w:rPr>
                      <w:color w:val="auto"/>
                      <w:szCs w:val="21"/>
                    </w:rPr>
                    <w:t>60</w:t>
                  </w:r>
                </w:p>
              </w:tc>
              <w:tc>
                <w:tcPr>
                  <w:tcW w:w="1051" w:type="pct"/>
                  <w:vAlign w:val="center"/>
                </w:tcPr>
                <w:p>
                  <w:pPr>
                    <w:jc w:val="center"/>
                    <w:rPr>
                      <w:color w:val="auto"/>
                      <w:szCs w:val="21"/>
                    </w:rPr>
                  </w:pPr>
                  <w:r>
                    <w:rPr>
                      <w:rFonts w:hint="eastAsia"/>
                      <w:color w:val="auto"/>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pct"/>
                  <w:vAlign w:val="center"/>
                </w:tcPr>
                <w:p>
                  <w:pPr>
                    <w:jc w:val="center"/>
                    <w:rPr>
                      <w:color w:val="auto"/>
                      <w:szCs w:val="21"/>
                    </w:rPr>
                  </w:pPr>
                  <w:r>
                    <w:rPr>
                      <w:rFonts w:hint="eastAsia"/>
                      <w:color w:val="auto"/>
                      <w:szCs w:val="21"/>
                    </w:rPr>
                    <w:t>拟建厂界东侧</w:t>
                  </w:r>
                  <w:r>
                    <w:rPr>
                      <w:color w:val="auto"/>
                      <w:szCs w:val="21"/>
                    </w:rPr>
                    <w:t>1#</w:t>
                  </w:r>
                </w:p>
              </w:tc>
              <w:tc>
                <w:tcPr>
                  <w:tcW w:w="787" w:type="pct"/>
                  <w:vMerge w:val="restart"/>
                  <w:vAlign w:val="center"/>
                </w:tcPr>
                <w:p>
                  <w:pPr>
                    <w:jc w:val="center"/>
                    <w:rPr>
                      <w:color w:val="auto"/>
                      <w:szCs w:val="21"/>
                    </w:rPr>
                  </w:pPr>
                  <w:r>
                    <w:rPr>
                      <w:rFonts w:hint="eastAsia"/>
                      <w:color w:val="auto"/>
                      <w:szCs w:val="21"/>
                    </w:rPr>
                    <w:t>夜间</w:t>
                  </w:r>
                </w:p>
              </w:tc>
              <w:tc>
                <w:tcPr>
                  <w:tcW w:w="1259" w:type="pct"/>
                  <w:vAlign w:val="center"/>
                </w:tcPr>
                <w:p>
                  <w:pPr>
                    <w:jc w:val="center"/>
                    <w:rPr>
                      <w:color w:val="auto"/>
                      <w:szCs w:val="21"/>
                    </w:rPr>
                  </w:pPr>
                  <w:r>
                    <w:rPr>
                      <w:color w:val="auto"/>
                      <w:szCs w:val="21"/>
                    </w:rPr>
                    <w:t>43.6</w:t>
                  </w:r>
                </w:p>
              </w:tc>
              <w:tc>
                <w:tcPr>
                  <w:tcW w:w="677" w:type="pct"/>
                  <w:vAlign w:val="center"/>
                </w:tcPr>
                <w:p>
                  <w:pPr>
                    <w:jc w:val="center"/>
                    <w:rPr>
                      <w:color w:val="auto"/>
                      <w:szCs w:val="21"/>
                    </w:rPr>
                  </w:pPr>
                  <w:r>
                    <w:rPr>
                      <w:color w:val="auto"/>
                      <w:szCs w:val="21"/>
                    </w:rPr>
                    <w:t>50</w:t>
                  </w:r>
                </w:p>
              </w:tc>
              <w:tc>
                <w:tcPr>
                  <w:tcW w:w="1051" w:type="pct"/>
                  <w:vAlign w:val="center"/>
                </w:tcPr>
                <w:p>
                  <w:pPr>
                    <w:jc w:val="center"/>
                    <w:rPr>
                      <w:color w:val="auto"/>
                      <w:szCs w:val="21"/>
                    </w:rPr>
                  </w:pPr>
                  <w:r>
                    <w:rPr>
                      <w:rFonts w:hint="eastAsia"/>
                      <w:color w:val="auto"/>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pct"/>
                  <w:vAlign w:val="center"/>
                </w:tcPr>
                <w:p>
                  <w:pPr>
                    <w:jc w:val="center"/>
                    <w:rPr>
                      <w:color w:val="auto"/>
                      <w:szCs w:val="21"/>
                    </w:rPr>
                  </w:pPr>
                  <w:r>
                    <w:rPr>
                      <w:rFonts w:hint="eastAsia"/>
                      <w:color w:val="auto"/>
                      <w:szCs w:val="21"/>
                    </w:rPr>
                    <w:t>拟建厂界南侧</w:t>
                  </w:r>
                  <w:r>
                    <w:rPr>
                      <w:color w:val="auto"/>
                      <w:szCs w:val="21"/>
                    </w:rPr>
                    <w:t>2#</w:t>
                  </w:r>
                </w:p>
              </w:tc>
              <w:tc>
                <w:tcPr>
                  <w:tcW w:w="787" w:type="pct"/>
                  <w:vMerge w:val="continue"/>
                  <w:vAlign w:val="center"/>
                </w:tcPr>
                <w:p>
                  <w:pPr>
                    <w:jc w:val="center"/>
                    <w:rPr>
                      <w:color w:val="auto"/>
                      <w:szCs w:val="21"/>
                    </w:rPr>
                  </w:pPr>
                </w:p>
              </w:tc>
              <w:tc>
                <w:tcPr>
                  <w:tcW w:w="1259" w:type="pct"/>
                  <w:vAlign w:val="center"/>
                </w:tcPr>
                <w:p>
                  <w:pPr>
                    <w:jc w:val="center"/>
                    <w:rPr>
                      <w:color w:val="auto"/>
                      <w:szCs w:val="21"/>
                    </w:rPr>
                  </w:pPr>
                  <w:r>
                    <w:rPr>
                      <w:color w:val="auto"/>
                      <w:szCs w:val="21"/>
                    </w:rPr>
                    <w:t>42.7</w:t>
                  </w:r>
                </w:p>
              </w:tc>
              <w:tc>
                <w:tcPr>
                  <w:tcW w:w="677" w:type="pct"/>
                  <w:vAlign w:val="center"/>
                </w:tcPr>
                <w:p>
                  <w:pPr>
                    <w:jc w:val="center"/>
                    <w:rPr>
                      <w:color w:val="auto"/>
                      <w:szCs w:val="21"/>
                    </w:rPr>
                  </w:pPr>
                  <w:r>
                    <w:rPr>
                      <w:color w:val="auto"/>
                      <w:szCs w:val="21"/>
                    </w:rPr>
                    <w:t>50</w:t>
                  </w:r>
                </w:p>
              </w:tc>
              <w:tc>
                <w:tcPr>
                  <w:tcW w:w="1051" w:type="pct"/>
                  <w:vAlign w:val="center"/>
                </w:tcPr>
                <w:p>
                  <w:pPr>
                    <w:jc w:val="center"/>
                    <w:rPr>
                      <w:color w:val="auto"/>
                      <w:szCs w:val="21"/>
                    </w:rPr>
                  </w:pPr>
                  <w:r>
                    <w:rPr>
                      <w:rFonts w:hint="eastAsia"/>
                      <w:color w:val="auto"/>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pct"/>
                  <w:vAlign w:val="center"/>
                </w:tcPr>
                <w:p>
                  <w:pPr>
                    <w:jc w:val="center"/>
                    <w:rPr>
                      <w:color w:val="auto"/>
                      <w:szCs w:val="21"/>
                    </w:rPr>
                  </w:pPr>
                  <w:r>
                    <w:rPr>
                      <w:rFonts w:hint="eastAsia"/>
                      <w:color w:val="auto"/>
                      <w:szCs w:val="21"/>
                    </w:rPr>
                    <w:t>拟建厂界西侧</w:t>
                  </w:r>
                  <w:r>
                    <w:rPr>
                      <w:color w:val="auto"/>
                      <w:szCs w:val="21"/>
                    </w:rPr>
                    <w:t>3#</w:t>
                  </w:r>
                </w:p>
              </w:tc>
              <w:tc>
                <w:tcPr>
                  <w:tcW w:w="787" w:type="pct"/>
                  <w:vMerge w:val="continue"/>
                  <w:vAlign w:val="center"/>
                </w:tcPr>
                <w:p>
                  <w:pPr>
                    <w:jc w:val="center"/>
                    <w:rPr>
                      <w:color w:val="auto"/>
                      <w:szCs w:val="21"/>
                    </w:rPr>
                  </w:pPr>
                </w:p>
              </w:tc>
              <w:tc>
                <w:tcPr>
                  <w:tcW w:w="1259" w:type="pct"/>
                  <w:vAlign w:val="center"/>
                </w:tcPr>
                <w:p>
                  <w:pPr>
                    <w:jc w:val="center"/>
                    <w:rPr>
                      <w:color w:val="auto"/>
                      <w:szCs w:val="21"/>
                    </w:rPr>
                  </w:pPr>
                  <w:r>
                    <w:rPr>
                      <w:color w:val="auto"/>
                      <w:szCs w:val="21"/>
                    </w:rPr>
                    <w:t>47.5</w:t>
                  </w:r>
                </w:p>
              </w:tc>
              <w:tc>
                <w:tcPr>
                  <w:tcW w:w="677" w:type="pct"/>
                  <w:vAlign w:val="center"/>
                </w:tcPr>
                <w:p>
                  <w:pPr>
                    <w:jc w:val="center"/>
                    <w:rPr>
                      <w:color w:val="auto"/>
                      <w:szCs w:val="21"/>
                    </w:rPr>
                  </w:pPr>
                  <w:r>
                    <w:rPr>
                      <w:color w:val="auto"/>
                      <w:szCs w:val="21"/>
                    </w:rPr>
                    <w:t>50</w:t>
                  </w:r>
                </w:p>
              </w:tc>
              <w:tc>
                <w:tcPr>
                  <w:tcW w:w="1051" w:type="pct"/>
                  <w:vAlign w:val="center"/>
                </w:tcPr>
                <w:p>
                  <w:pPr>
                    <w:jc w:val="center"/>
                    <w:rPr>
                      <w:color w:val="auto"/>
                      <w:szCs w:val="21"/>
                    </w:rPr>
                  </w:pPr>
                  <w:r>
                    <w:rPr>
                      <w:rFonts w:hint="eastAsia"/>
                      <w:color w:val="auto"/>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pct"/>
                  <w:vAlign w:val="center"/>
                </w:tcPr>
                <w:p>
                  <w:pPr>
                    <w:jc w:val="center"/>
                    <w:rPr>
                      <w:color w:val="auto"/>
                      <w:szCs w:val="21"/>
                    </w:rPr>
                  </w:pPr>
                  <w:r>
                    <w:rPr>
                      <w:rFonts w:hint="eastAsia"/>
                      <w:color w:val="auto"/>
                      <w:szCs w:val="21"/>
                    </w:rPr>
                    <w:t>拟建厂界北侧</w:t>
                  </w:r>
                  <w:r>
                    <w:rPr>
                      <w:color w:val="auto"/>
                      <w:szCs w:val="21"/>
                    </w:rPr>
                    <w:t>4#</w:t>
                  </w:r>
                </w:p>
              </w:tc>
              <w:tc>
                <w:tcPr>
                  <w:tcW w:w="787" w:type="pct"/>
                  <w:vMerge w:val="continue"/>
                  <w:vAlign w:val="center"/>
                </w:tcPr>
                <w:p>
                  <w:pPr>
                    <w:jc w:val="center"/>
                    <w:rPr>
                      <w:color w:val="auto"/>
                      <w:szCs w:val="21"/>
                    </w:rPr>
                  </w:pPr>
                </w:p>
              </w:tc>
              <w:tc>
                <w:tcPr>
                  <w:tcW w:w="1259" w:type="pct"/>
                  <w:vAlign w:val="center"/>
                </w:tcPr>
                <w:p>
                  <w:pPr>
                    <w:jc w:val="center"/>
                    <w:rPr>
                      <w:color w:val="auto"/>
                      <w:szCs w:val="21"/>
                    </w:rPr>
                  </w:pPr>
                  <w:r>
                    <w:rPr>
                      <w:color w:val="auto"/>
                      <w:szCs w:val="21"/>
                    </w:rPr>
                    <w:t>42.1</w:t>
                  </w:r>
                </w:p>
              </w:tc>
              <w:tc>
                <w:tcPr>
                  <w:tcW w:w="677" w:type="pct"/>
                  <w:vAlign w:val="center"/>
                </w:tcPr>
                <w:p>
                  <w:pPr>
                    <w:jc w:val="center"/>
                    <w:rPr>
                      <w:color w:val="auto"/>
                      <w:szCs w:val="21"/>
                    </w:rPr>
                  </w:pPr>
                  <w:r>
                    <w:rPr>
                      <w:color w:val="auto"/>
                      <w:szCs w:val="21"/>
                    </w:rPr>
                    <w:t>50</w:t>
                  </w:r>
                </w:p>
              </w:tc>
              <w:tc>
                <w:tcPr>
                  <w:tcW w:w="1051" w:type="pct"/>
                  <w:vAlign w:val="center"/>
                </w:tcPr>
                <w:p>
                  <w:pPr>
                    <w:jc w:val="center"/>
                    <w:rPr>
                      <w:color w:val="auto"/>
                      <w:szCs w:val="21"/>
                    </w:rPr>
                  </w:pPr>
                  <w:r>
                    <w:rPr>
                      <w:rFonts w:hint="eastAsia"/>
                      <w:color w:val="auto"/>
                      <w:szCs w:val="21"/>
                    </w:rPr>
                    <w:t>是</w:t>
                  </w:r>
                </w:p>
              </w:tc>
            </w:tr>
          </w:tbl>
          <w:p>
            <w:pPr>
              <w:spacing w:line="360" w:lineRule="auto"/>
              <w:ind w:firstLine="480" w:firstLineChars="200"/>
              <w:rPr>
                <w:color w:val="auto"/>
                <w:sz w:val="24"/>
                <w:szCs w:val="24"/>
              </w:rPr>
            </w:pPr>
            <w:r>
              <w:rPr>
                <w:rFonts w:hint="eastAsia"/>
                <w:color w:val="auto"/>
                <w:sz w:val="24"/>
                <w:szCs w:val="24"/>
              </w:rPr>
              <w:t>根据上述结果可见，</w:t>
            </w:r>
            <w:r>
              <w:rPr>
                <w:rFonts w:hint="eastAsia"/>
                <w:iCs/>
                <w:color w:val="auto"/>
                <w:sz w:val="24"/>
                <w:szCs w:val="24"/>
              </w:rPr>
              <w:t>拟建厂界四周满足《声环境质量标准》（</w:t>
            </w:r>
            <w:r>
              <w:rPr>
                <w:color w:val="auto"/>
              </w:rPr>
              <w:fldChar w:fldCharType="begin"/>
            </w:r>
            <w:r>
              <w:rPr>
                <w:color w:val="auto"/>
              </w:rPr>
              <w:instrText xml:space="preserve"> HYPERLINK "http://www.baidu.com/link?url=s1SkmXRnLAyMDg5XASAsHT4aJ9c87YiY3Pkg5Kl-k4Tk4D2XQHryrXXzp5PRiT7tSxBG6dI3L1IE-d5W6KvKu7swTb6FaHPZgb24Q5dLEZRmqXKTKC-4xrzcdOfePVvS" \t "_blank" </w:instrText>
            </w:r>
            <w:r>
              <w:rPr>
                <w:color w:val="auto"/>
              </w:rPr>
              <w:fldChar w:fldCharType="separate"/>
            </w:r>
            <w:r>
              <w:rPr>
                <w:iCs/>
                <w:color w:val="auto"/>
                <w:sz w:val="24"/>
                <w:szCs w:val="24"/>
              </w:rPr>
              <w:t>GB3096-2008</w:t>
            </w:r>
            <w:r>
              <w:rPr>
                <w:iCs/>
                <w:color w:val="auto"/>
                <w:sz w:val="24"/>
                <w:szCs w:val="24"/>
              </w:rPr>
              <w:fldChar w:fldCharType="end"/>
            </w:r>
            <w:r>
              <w:rPr>
                <w:rFonts w:hint="eastAsia"/>
                <w:iCs/>
                <w:color w:val="auto"/>
                <w:sz w:val="24"/>
                <w:szCs w:val="24"/>
              </w:rPr>
              <w:t>）中</w:t>
            </w:r>
            <w:r>
              <w:rPr>
                <w:iCs/>
                <w:color w:val="auto"/>
                <w:sz w:val="24"/>
                <w:szCs w:val="24"/>
              </w:rPr>
              <w:t>2</w:t>
            </w:r>
            <w:r>
              <w:rPr>
                <w:rFonts w:hint="eastAsia"/>
                <w:iCs/>
                <w:color w:val="auto"/>
                <w:sz w:val="24"/>
                <w:szCs w:val="24"/>
              </w:rPr>
              <w:t>类标准。</w:t>
            </w:r>
          </w:p>
          <w:p>
            <w:pPr>
              <w:spacing w:line="360" w:lineRule="auto"/>
              <w:outlineLvl w:val="1"/>
              <w:rPr>
                <w:b/>
                <w:color w:val="auto"/>
                <w:sz w:val="28"/>
                <w:szCs w:val="28"/>
              </w:rPr>
            </w:pPr>
            <w:r>
              <w:rPr>
                <w:b/>
                <w:color w:val="auto"/>
                <w:sz w:val="28"/>
                <w:szCs w:val="28"/>
              </w:rPr>
              <w:t>3.2</w:t>
            </w:r>
            <w:r>
              <w:rPr>
                <w:rFonts w:hint="eastAsia"/>
                <w:b/>
                <w:color w:val="auto"/>
                <w:sz w:val="28"/>
                <w:szCs w:val="28"/>
              </w:rPr>
              <w:t>电磁环境</w:t>
            </w:r>
          </w:p>
          <w:p>
            <w:pPr>
              <w:adjustRightInd w:val="0"/>
              <w:snapToGrid w:val="0"/>
              <w:spacing w:line="360" w:lineRule="auto"/>
              <w:ind w:firstLine="480" w:firstLineChars="200"/>
              <w:rPr>
                <w:color w:val="auto"/>
                <w:sz w:val="24"/>
                <w:szCs w:val="24"/>
              </w:rPr>
            </w:pPr>
            <w:r>
              <w:rPr>
                <w:rFonts w:hint="eastAsia"/>
                <w:color w:val="auto"/>
                <w:sz w:val="24"/>
                <w:szCs w:val="24"/>
              </w:rPr>
              <w:t>本工程电磁环境现状详见电磁环境影响专题评价。电磁环境现状监测结果如下：</w:t>
            </w:r>
          </w:p>
          <w:p>
            <w:pPr>
              <w:adjustRightInd w:val="0"/>
              <w:snapToGrid w:val="0"/>
              <w:spacing w:line="360" w:lineRule="auto"/>
              <w:ind w:firstLine="480" w:firstLineChars="200"/>
              <w:rPr>
                <w:color w:val="auto"/>
                <w:sz w:val="24"/>
                <w:szCs w:val="24"/>
              </w:rPr>
            </w:pPr>
            <w:r>
              <w:rPr>
                <w:rFonts w:hint="eastAsia"/>
                <w:color w:val="auto"/>
                <w:sz w:val="24"/>
                <w:szCs w:val="24"/>
              </w:rPr>
              <w:t>儒林</w:t>
            </w:r>
            <w:r>
              <w:rPr>
                <w:color w:val="auto"/>
                <w:sz w:val="24"/>
                <w:szCs w:val="24"/>
              </w:rPr>
              <w:t>100MW/200MWh</w:t>
            </w:r>
            <w:r>
              <w:rPr>
                <w:rFonts w:hint="eastAsia"/>
                <w:color w:val="auto"/>
                <w:sz w:val="24"/>
                <w:szCs w:val="24"/>
              </w:rPr>
              <w:t>储能电站项目围墙外监测点及断面监测点的工频电场强度、工频磁感应强度最大监测值均小于《电磁环境控制限值》</w:t>
            </w:r>
            <w:r>
              <w:rPr>
                <w:color w:val="auto"/>
                <w:sz w:val="24"/>
                <w:szCs w:val="24"/>
              </w:rPr>
              <w:t>(GB8702-2014)</w:t>
            </w:r>
            <w:r>
              <w:rPr>
                <w:rFonts w:hint="eastAsia"/>
                <w:color w:val="auto"/>
                <w:sz w:val="24"/>
                <w:szCs w:val="24"/>
              </w:rPr>
              <w:t>中规定工作频率为</w:t>
            </w:r>
            <w:r>
              <w:rPr>
                <w:color w:val="auto"/>
                <w:sz w:val="24"/>
                <w:szCs w:val="24"/>
              </w:rPr>
              <w:t>50Hz</w:t>
            </w:r>
            <w:r>
              <w:rPr>
                <w:rFonts w:hint="eastAsia"/>
                <w:color w:val="auto"/>
                <w:sz w:val="24"/>
                <w:szCs w:val="24"/>
              </w:rPr>
              <w:t>工频电场强度限值</w:t>
            </w:r>
            <w:r>
              <w:rPr>
                <w:color w:val="auto"/>
                <w:sz w:val="24"/>
                <w:szCs w:val="24"/>
              </w:rPr>
              <w:t>4000V/m</w:t>
            </w:r>
            <w:r>
              <w:rPr>
                <w:rFonts w:hint="eastAsia"/>
                <w:color w:val="auto"/>
                <w:sz w:val="24"/>
                <w:szCs w:val="24"/>
              </w:rPr>
              <w:t>和工频磁感应强度限值为</w:t>
            </w:r>
            <w:r>
              <w:rPr>
                <w:color w:val="auto"/>
                <w:sz w:val="24"/>
                <w:szCs w:val="24"/>
              </w:rPr>
              <w:t>100μT</w:t>
            </w:r>
            <w:r>
              <w:rPr>
                <w:rFonts w:hint="eastAsia"/>
                <w:color w:val="auto"/>
                <w:sz w:val="24"/>
                <w:szCs w:val="24"/>
              </w:rPr>
              <w:t>的评价标准。</w:t>
            </w:r>
          </w:p>
          <w:p>
            <w:pPr>
              <w:spacing w:line="360" w:lineRule="auto"/>
              <w:rPr>
                <w:b/>
                <w:color w:val="auto"/>
                <w:sz w:val="28"/>
              </w:rPr>
            </w:pPr>
            <w:r>
              <w:rPr>
                <w:b/>
                <w:color w:val="auto"/>
                <w:sz w:val="28"/>
              </w:rPr>
              <w:t>3.3</w:t>
            </w:r>
            <w:r>
              <w:rPr>
                <w:rFonts w:hint="eastAsia"/>
                <w:b/>
                <w:color w:val="auto"/>
                <w:sz w:val="28"/>
              </w:rPr>
              <w:t>生态环境</w:t>
            </w:r>
          </w:p>
          <w:p>
            <w:pPr>
              <w:spacing w:line="360" w:lineRule="auto"/>
              <w:ind w:firstLine="480" w:firstLineChars="200"/>
              <w:rPr>
                <w:rFonts w:eastAsiaTheme="minorEastAsia"/>
                <w:color w:val="auto"/>
                <w:sz w:val="24"/>
                <w:szCs w:val="24"/>
              </w:rPr>
            </w:pPr>
            <w:r>
              <w:rPr>
                <w:rFonts w:hint="eastAsia"/>
                <w:color w:val="auto"/>
                <w:sz w:val="24"/>
                <w:szCs w:val="24"/>
              </w:rPr>
              <w:t>根据对工程现场踏勘及调查，</w:t>
            </w:r>
            <w:r>
              <w:rPr>
                <w:color w:val="auto"/>
                <w:sz w:val="24"/>
                <w:szCs w:val="24"/>
              </w:rPr>
              <w:t>110KV</w:t>
            </w:r>
            <w:r>
              <w:rPr>
                <w:rFonts w:hint="eastAsia"/>
                <w:color w:val="auto"/>
                <w:sz w:val="24"/>
                <w:szCs w:val="24"/>
              </w:rPr>
              <w:t>变电站选址于儒林</w:t>
            </w:r>
            <w:r>
              <w:rPr>
                <w:color w:val="auto"/>
                <w:sz w:val="24"/>
              </w:rPr>
              <w:t xml:space="preserve">220kV </w:t>
            </w:r>
            <w:r>
              <w:rPr>
                <w:rFonts w:hint="eastAsia"/>
                <w:color w:val="auto"/>
                <w:sz w:val="24"/>
              </w:rPr>
              <w:t>变电站西侧空地，</w:t>
            </w:r>
            <w:r>
              <w:rPr>
                <w:rFonts w:hint="eastAsia" w:eastAsiaTheme="minorEastAsia"/>
                <w:color w:val="auto"/>
                <w:sz w:val="24"/>
                <w:szCs w:val="24"/>
              </w:rPr>
              <w:t>工程区域自然环境概况见</w:t>
            </w:r>
            <w:r>
              <w:rPr>
                <w:color w:val="auto"/>
              </w:rPr>
              <w:fldChar w:fldCharType="begin"/>
            </w:r>
            <w:r>
              <w:rPr>
                <w:color w:val="auto"/>
              </w:rPr>
              <w:instrText xml:space="preserve"> REF _Ref35466464 \h  \* MERGEFORMAT </w:instrText>
            </w:r>
            <w:r>
              <w:rPr>
                <w:color w:val="auto"/>
              </w:rPr>
              <w:fldChar w:fldCharType="separate"/>
            </w:r>
            <w:r>
              <w:rPr>
                <w:rFonts w:hint="eastAsia" w:eastAsiaTheme="minorEastAsia"/>
                <w:color w:val="auto"/>
                <w:sz w:val="24"/>
                <w:szCs w:val="24"/>
              </w:rPr>
              <w:t>图</w:t>
            </w:r>
            <w:r>
              <w:rPr>
                <w:rFonts w:hint="eastAsia" w:eastAsiaTheme="minorEastAsia"/>
                <w:color w:val="auto"/>
                <w:sz w:val="24"/>
                <w:szCs w:val="24"/>
              </w:rPr>
              <w:fldChar w:fldCharType="end"/>
            </w:r>
            <w:r>
              <w:rPr>
                <w:rFonts w:hint="eastAsia" w:eastAsiaTheme="minorEastAsia"/>
                <w:color w:val="auto"/>
                <w:sz w:val="24"/>
                <w:szCs w:val="24"/>
              </w:rPr>
              <w:t>。</w:t>
            </w:r>
          </w:p>
          <w:tbl>
            <w:tblPr>
              <w:tblStyle w:val="87"/>
              <w:tblW w:w="9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5"/>
              <w:gridCol w:w="4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4" w:hRule="atLeast"/>
              </w:trPr>
              <w:tc>
                <w:tcPr>
                  <w:tcW w:w="4625" w:type="dxa"/>
                </w:tcPr>
                <w:p>
                  <w:pPr>
                    <w:spacing w:line="360" w:lineRule="auto"/>
                    <w:rPr>
                      <w:rFonts w:eastAsiaTheme="minorEastAsia"/>
                      <w:color w:val="auto"/>
                      <w:szCs w:val="21"/>
                    </w:rPr>
                  </w:pPr>
                  <w:r>
                    <w:rPr>
                      <w:rFonts w:eastAsiaTheme="minorEastAsia"/>
                      <w:color w:val="auto"/>
                      <w:szCs w:val="21"/>
                    </w:rPr>
                    <w:drawing>
                      <wp:anchor distT="0" distB="0" distL="114300" distR="114300" simplePos="0" relativeHeight="251660288" behindDoc="0" locked="0" layoutInCell="1" allowOverlap="1">
                        <wp:simplePos x="0" y="0"/>
                        <wp:positionH relativeFrom="column">
                          <wp:posOffset>-38735</wp:posOffset>
                        </wp:positionH>
                        <wp:positionV relativeFrom="paragraph">
                          <wp:posOffset>23495</wp:posOffset>
                        </wp:positionV>
                        <wp:extent cx="2853690" cy="2139950"/>
                        <wp:effectExtent l="19050" t="0" r="3954" b="0"/>
                        <wp:wrapNone/>
                        <wp:docPr id="172" name="图片 172" descr="D:\230环评\放\输变电项目\2020\城步儒林储能站\资料\照片\IMG_20201119_14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D:\230环评\放\输变电项目\2020\城步儒林储能站\资料\照片\IMG_20201119_142712.jpg"/>
                                <pic:cNvPicPr>
                                  <a:picLocks noChangeAspect="1" noChangeArrowheads="1"/>
                                </pic:cNvPicPr>
                              </pic:nvPicPr>
                              <pic:blipFill>
                                <a:blip r:embed="rId11" cstate="print"/>
                                <a:srcRect/>
                                <a:stretch>
                                  <a:fillRect/>
                                </a:stretch>
                              </pic:blipFill>
                              <pic:spPr>
                                <a:xfrm>
                                  <a:off x="0" y="0"/>
                                  <a:ext cx="2853546" cy="2139769"/>
                                </a:xfrm>
                                <a:prstGeom prst="rect">
                                  <a:avLst/>
                                </a:prstGeom>
                                <a:noFill/>
                                <a:ln w="9525">
                                  <a:noFill/>
                                  <a:miter lim="800000"/>
                                  <a:headEnd/>
                                  <a:tailEnd/>
                                </a:ln>
                              </pic:spPr>
                            </pic:pic>
                          </a:graphicData>
                        </a:graphic>
                      </wp:anchor>
                    </w:drawing>
                  </w:r>
                </w:p>
              </w:tc>
              <w:tc>
                <w:tcPr>
                  <w:tcW w:w="4625" w:type="dxa"/>
                </w:tcPr>
                <w:p>
                  <w:pPr>
                    <w:spacing w:line="360" w:lineRule="auto"/>
                    <w:rPr>
                      <w:rFonts w:eastAsiaTheme="minorEastAsia"/>
                      <w:color w:val="auto"/>
                      <w:szCs w:val="21"/>
                    </w:rPr>
                  </w:pPr>
                  <w:r>
                    <w:rPr>
                      <w:rFonts w:eastAsiaTheme="minorEastAsia"/>
                      <w:color w:val="auto"/>
                      <w:szCs w:val="21"/>
                    </w:rPr>
                    <w:drawing>
                      <wp:anchor distT="0" distB="0" distL="114300" distR="114300" simplePos="0" relativeHeight="251662336" behindDoc="0" locked="0" layoutInCell="1" allowOverlap="1">
                        <wp:simplePos x="0" y="0"/>
                        <wp:positionH relativeFrom="column">
                          <wp:posOffset>-33655</wp:posOffset>
                        </wp:positionH>
                        <wp:positionV relativeFrom="paragraph">
                          <wp:posOffset>23495</wp:posOffset>
                        </wp:positionV>
                        <wp:extent cx="2854325" cy="2139315"/>
                        <wp:effectExtent l="19050" t="0" r="3247" b="0"/>
                        <wp:wrapNone/>
                        <wp:docPr id="173" name="图片 173" descr="D:\230环评\放\输变电项目\2020\城步儒林储能站\资料\照片\IMG_20201119_14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D:\230环评\放\输变电项目\2020\城步儒林储能站\资料\照片\IMG_20201119_143253.jpg"/>
                                <pic:cNvPicPr>
                                  <a:picLocks noChangeAspect="1" noChangeArrowheads="1"/>
                                </pic:cNvPicPr>
                              </pic:nvPicPr>
                              <pic:blipFill>
                                <a:blip r:embed="rId12" cstate="print"/>
                                <a:srcRect/>
                                <a:stretch>
                                  <a:fillRect/>
                                </a:stretch>
                              </pic:blipFill>
                              <pic:spPr>
                                <a:xfrm>
                                  <a:off x="0" y="0"/>
                                  <a:ext cx="2854253" cy="2139351"/>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625" w:type="dxa"/>
                </w:tcPr>
                <w:p>
                  <w:pPr>
                    <w:spacing w:line="360" w:lineRule="auto"/>
                    <w:jc w:val="center"/>
                    <w:rPr>
                      <w:rFonts w:eastAsiaTheme="minorEastAsia"/>
                      <w:color w:val="auto"/>
                      <w:szCs w:val="21"/>
                    </w:rPr>
                  </w:pPr>
                  <w:r>
                    <w:rPr>
                      <w:rFonts w:hint="eastAsia" w:eastAsiaTheme="minorEastAsia"/>
                      <w:color w:val="auto"/>
                      <w:szCs w:val="21"/>
                    </w:rPr>
                    <w:t>用地现状</w:t>
                  </w:r>
                </w:p>
              </w:tc>
              <w:tc>
                <w:tcPr>
                  <w:tcW w:w="4625" w:type="dxa"/>
                </w:tcPr>
                <w:p>
                  <w:pPr>
                    <w:spacing w:line="360" w:lineRule="auto"/>
                    <w:jc w:val="center"/>
                    <w:rPr>
                      <w:rFonts w:eastAsiaTheme="minorEastAsia"/>
                      <w:color w:val="auto"/>
                      <w:szCs w:val="21"/>
                    </w:rPr>
                  </w:pPr>
                  <w:r>
                    <w:rPr>
                      <w:rFonts w:hint="eastAsia" w:eastAsiaTheme="minorEastAsia"/>
                      <w:color w:val="auto"/>
                      <w:szCs w:val="21"/>
                    </w:rPr>
                    <w:t>场地东侧儒林</w:t>
                  </w:r>
                  <w:r>
                    <w:rPr>
                      <w:rFonts w:eastAsiaTheme="minorEastAsia"/>
                      <w:color w:val="auto"/>
                      <w:szCs w:val="21"/>
                    </w:rPr>
                    <w:t xml:space="preserve">220kV </w:t>
                  </w:r>
                  <w:r>
                    <w:rPr>
                      <w:rFonts w:hint="eastAsia" w:eastAsiaTheme="minorEastAsia"/>
                      <w:color w:val="auto"/>
                      <w:szCs w:val="21"/>
                    </w:rPr>
                    <w:t>变电站</w:t>
                  </w:r>
                </w:p>
              </w:tc>
            </w:tr>
          </w:tbl>
          <w:p>
            <w:pPr>
              <w:keepNext/>
              <w:ind w:firstLine="482" w:firstLineChars="200"/>
              <w:jc w:val="center"/>
              <w:rPr>
                <w:b/>
                <w:bCs/>
                <w:color w:val="auto"/>
                <w:sz w:val="15"/>
                <w:szCs w:val="15"/>
              </w:rPr>
            </w:pPr>
            <w:bookmarkStart w:id="16" w:name="_Ref35466464"/>
            <w:bookmarkStart w:id="17" w:name="_Ref35466459"/>
            <w:r>
              <w:rPr>
                <w:rFonts w:hint="eastAsia" w:eastAsiaTheme="minorEastAsia"/>
                <w:b/>
                <w:color w:val="auto"/>
                <w:sz w:val="24"/>
                <w:szCs w:val="24"/>
              </w:rPr>
              <w:t>图</w:t>
            </w:r>
            <w:bookmarkEnd w:id="16"/>
            <w:r>
              <w:rPr>
                <w:rFonts w:eastAsiaTheme="minorEastAsia"/>
                <w:b/>
                <w:color w:val="auto"/>
                <w:sz w:val="24"/>
                <w:szCs w:val="24"/>
              </w:rPr>
              <w:t xml:space="preserve">3-1 </w:t>
            </w:r>
            <w:r>
              <w:rPr>
                <w:rFonts w:hint="eastAsia" w:eastAsiaTheme="minorEastAsia"/>
                <w:b/>
                <w:color w:val="auto"/>
                <w:sz w:val="24"/>
                <w:szCs w:val="24"/>
              </w:rPr>
              <w:t>本工程及周边环境现状</w:t>
            </w:r>
            <w:bookmarkEnd w:id="17"/>
          </w:p>
          <w:p>
            <w:pPr>
              <w:keepNext w:val="0"/>
              <w:spacing w:line="360" w:lineRule="auto"/>
              <w:ind w:firstLine="0" w:firstLineChars="0"/>
              <w:rPr>
                <w:rFonts w:hint="default"/>
                <w:b/>
                <w:bCs w:val="0"/>
                <w:color w:val="auto"/>
                <w:sz w:val="28"/>
                <w:szCs w:val="22"/>
                <w:lang w:val="en-US" w:eastAsia="zh-CN"/>
              </w:rPr>
            </w:pPr>
            <w:r>
              <w:rPr>
                <w:rFonts w:hint="default"/>
                <w:b/>
                <w:bCs w:val="0"/>
                <w:color w:val="auto"/>
                <w:sz w:val="28"/>
                <w:szCs w:val="22"/>
                <w:lang w:val="en-US" w:eastAsia="zh-CN"/>
              </w:rPr>
              <w:t>3.4地表水环境</w:t>
            </w:r>
          </w:p>
          <w:p>
            <w:pPr>
              <w:spacing w:line="360" w:lineRule="auto"/>
              <w:ind w:firstLine="480" w:firstLineChars="200"/>
              <w:rPr>
                <w:rFonts w:hint="eastAsia" w:ascii="宋体" w:hAnsi="宋体" w:cs="宋体"/>
                <w:color w:val="000000"/>
                <w:sz w:val="24"/>
              </w:rPr>
            </w:pPr>
            <w:r>
              <w:rPr>
                <w:rFonts w:hint="eastAsia" w:ascii="宋体" w:hAnsi="宋体" w:cs="宋体"/>
                <w:sz w:val="24"/>
              </w:rPr>
              <w:t>本</w:t>
            </w:r>
            <w:r>
              <w:rPr>
                <w:rFonts w:hint="eastAsia" w:ascii="宋体" w:hAnsi="宋体" w:cs="宋体"/>
                <w:color w:val="000000"/>
                <w:sz w:val="24"/>
              </w:rPr>
              <w:t>项目</w:t>
            </w:r>
            <w:r>
              <w:rPr>
                <w:rFonts w:hint="eastAsia" w:ascii="宋体" w:hAnsi="宋体" w:cs="宋体"/>
                <w:color w:val="000000"/>
                <w:sz w:val="24"/>
                <w:lang w:eastAsia="zh-CN"/>
              </w:rPr>
              <w:t>施工期废水经沉淀后回用，营运期</w:t>
            </w:r>
            <w:r>
              <w:rPr>
                <w:rFonts w:hint="eastAsia" w:ascii="宋体" w:hAnsi="宋体" w:cs="宋体"/>
                <w:color w:val="000000"/>
                <w:sz w:val="24"/>
              </w:rPr>
              <w:t>生活污水经化粪池熟化处理后用作农肥不外排</w:t>
            </w:r>
            <w:r>
              <w:rPr>
                <w:rFonts w:hint="eastAsia" w:ascii="宋体" w:hAnsi="宋体" w:cs="宋体"/>
                <w:color w:val="000000"/>
                <w:sz w:val="24"/>
                <w:lang w:eastAsia="zh-CN"/>
              </w:rPr>
              <w:t>；</w:t>
            </w:r>
            <w:r>
              <w:rPr>
                <w:rFonts w:hint="eastAsia" w:ascii="宋体" w:hAnsi="宋体" w:cs="宋体"/>
                <w:color w:val="000000"/>
                <w:sz w:val="24"/>
              </w:rPr>
              <w:t>初期雨水经导流沟收集至雨水收集池后均回用于洒水降尘或生产。根据《环境影响评价技术导则 地表水环境》（HJ2.3-2018）中的标准，本项目评价等级为三级B，可不开展区域污染源调查，故本次环评不对地表水进行监测。</w:t>
            </w: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pStyle w:val="2"/>
              <w:rPr>
                <w:rFonts w:hint="eastAsia" w:ascii="宋体" w:hAnsi="宋体" w:cs="宋体"/>
                <w:color w:val="000000"/>
                <w:sz w:val="24"/>
              </w:rPr>
            </w:pPr>
          </w:p>
          <w:p>
            <w:pPr>
              <w:keepNext w:val="0"/>
              <w:spacing w:line="360" w:lineRule="auto"/>
              <w:ind w:firstLine="0" w:firstLineChars="0"/>
              <w:rPr>
                <w:rFonts w:hint="default" w:eastAsia="宋体"/>
                <w:b/>
                <w:bCs w:val="0"/>
                <w:color w:val="auto"/>
                <w:sz w:val="28"/>
                <w:szCs w:val="22"/>
                <w:lang w:val="en-US" w:eastAsia="zh-CN"/>
              </w:rPr>
            </w:pPr>
          </w:p>
          <w:p>
            <w:pPr>
              <w:keepNext/>
              <w:ind w:firstLine="301" w:firstLineChars="200"/>
              <w:rPr>
                <w:b/>
                <w:bCs/>
                <w:color w:val="auto"/>
                <w:sz w:val="15"/>
                <w:szCs w:val="15"/>
              </w:rPr>
            </w:pPr>
          </w:p>
        </w:tc>
      </w:tr>
    </w:tbl>
    <w:p>
      <w:pPr>
        <w:pStyle w:val="5"/>
        <w:tabs>
          <w:tab w:val="left" w:pos="840"/>
        </w:tabs>
        <w:jc w:val="both"/>
        <w:rPr>
          <w:b/>
          <w:color w:val="auto"/>
          <w:sz w:val="30"/>
          <w:szCs w:val="30"/>
        </w:rPr>
      </w:pPr>
      <w:bookmarkStart w:id="18" w:name="_Toc244053170"/>
      <w:r>
        <w:rPr>
          <w:b/>
          <w:color w:val="auto"/>
          <w:sz w:val="30"/>
          <w:szCs w:val="30"/>
        </w:rPr>
        <w:br w:type="page"/>
      </w:r>
      <w:bookmarkStart w:id="19" w:name="_Toc244053169"/>
      <w:bookmarkStart w:id="20" w:name="_Toc40447922"/>
      <w:r>
        <w:rPr>
          <w:rFonts w:hint="eastAsia"/>
          <w:b/>
          <w:color w:val="auto"/>
          <w:sz w:val="30"/>
          <w:szCs w:val="30"/>
        </w:rPr>
        <w:t>四、评价适用标准</w:t>
      </w:r>
      <w:bookmarkEnd w:id="19"/>
      <w:bookmarkEnd w:id="20"/>
    </w:p>
    <w:tbl>
      <w:tblPr>
        <w:tblStyle w:val="86"/>
        <w:tblW w:w="8823"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43"/>
        <w:gridCol w:w="79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270" w:hRule="atLeast"/>
        </w:trPr>
        <w:tc>
          <w:tcPr>
            <w:tcW w:w="843" w:type="dxa"/>
            <w:vAlign w:val="center"/>
          </w:tcPr>
          <w:p>
            <w:pPr>
              <w:spacing w:line="276" w:lineRule="auto"/>
              <w:jc w:val="center"/>
              <w:rPr>
                <w:color w:val="auto"/>
                <w:sz w:val="24"/>
                <w:szCs w:val="24"/>
              </w:rPr>
            </w:pPr>
            <w:r>
              <w:rPr>
                <w:rFonts w:hint="eastAsia"/>
                <w:color w:val="auto"/>
                <w:sz w:val="24"/>
                <w:szCs w:val="24"/>
              </w:rPr>
              <w:t>环</w:t>
            </w:r>
          </w:p>
          <w:p>
            <w:pPr>
              <w:spacing w:line="276" w:lineRule="auto"/>
              <w:jc w:val="center"/>
              <w:rPr>
                <w:color w:val="auto"/>
                <w:sz w:val="24"/>
                <w:szCs w:val="24"/>
              </w:rPr>
            </w:pPr>
            <w:r>
              <w:rPr>
                <w:rFonts w:hint="eastAsia"/>
                <w:color w:val="auto"/>
                <w:sz w:val="24"/>
                <w:szCs w:val="24"/>
              </w:rPr>
              <w:t>境</w:t>
            </w:r>
          </w:p>
          <w:p>
            <w:pPr>
              <w:spacing w:line="276" w:lineRule="auto"/>
              <w:jc w:val="center"/>
              <w:rPr>
                <w:color w:val="auto"/>
                <w:sz w:val="24"/>
                <w:szCs w:val="24"/>
              </w:rPr>
            </w:pPr>
            <w:r>
              <w:rPr>
                <w:rFonts w:hint="eastAsia"/>
                <w:color w:val="auto"/>
                <w:sz w:val="24"/>
                <w:szCs w:val="24"/>
              </w:rPr>
              <w:t>质</w:t>
            </w:r>
          </w:p>
          <w:p>
            <w:pPr>
              <w:spacing w:line="276" w:lineRule="auto"/>
              <w:jc w:val="center"/>
              <w:rPr>
                <w:color w:val="auto"/>
                <w:sz w:val="24"/>
                <w:szCs w:val="24"/>
              </w:rPr>
            </w:pPr>
            <w:r>
              <w:rPr>
                <w:rFonts w:hint="eastAsia"/>
                <w:color w:val="auto"/>
                <w:sz w:val="24"/>
                <w:szCs w:val="24"/>
              </w:rPr>
              <w:t>量</w:t>
            </w:r>
          </w:p>
          <w:p>
            <w:pPr>
              <w:spacing w:line="276" w:lineRule="auto"/>
              <w:jc w:val="center"/>
              <w:rPr>
                <w:color w:val="auto"/>
                <w:sz w:val="24"/>
                <w:szCs w:val="24"/>
              </w:rPr>
            </w:pPr>
            <w:r>
              <w:rPr>
                <w:rFonts w:hint="eastAsia"/>
                <w:color w:val="auto"/>
                <w:sz w:val="24"/>
                <w:szCs w:val="24"/>
              </w:rPr>
              <w:t>标</w:t>
            </w:r>
          </w:p>
          <w:p>
            <w:pPr>
              <w:spacing w:line="276" w:lineRule="auto"/>
              <w:jc w:val="center"/>
              <w:rPr>
                <w:color w:val="auto"/>
                <w:sz w:val="24"/>
                <w:szCs w:val="24"/>
              </w:rPr>
            </w:pPr>
            <w:r>
              <w:rPr>
                <w:rFonts w:hint="eastAsia"/>
                <w:color w:val="auto"/>
                <w:sz w:val="24"/>
                <w:szCs w:val="24"/>
              </w:rPr>
              <w:t>准</w:t>
            </w:r>
          </w:p>
        </w:tc>
        <w:tc>
          <w:tcPr>
            <w:tcW w:w="7980" w:type="dxa"/>
            <w:vAlign w:val="center"/>
          </w:tcPr>
          <w:p>
            <w:pPr>
              <w:spacing w:line="360" w:lineRule="auto"/>
              <w:ind w:firstLine="480" w:firstLineChars="200"/>
              <w:rPr>
                <w:rFonts w:eastAsiaTheme="minorEastAsia"/>
                <w:color w:val="auto"/>
                <w:sz w:val="24"/>
                <w:szCs w:val="24"/>
              </w:rPr>
            </w:pPr>
            <w:r>
              <w:rPr>
                <w:color w:val="auto"/>
                <w:sz w:val="24"/>
              </w:rPr>
              <w:t>1</w:t>
            </w:r>
            <w:r>
              <w:rPr>
                <w:rFonts w:hint="eastAsia"/>
                <w:color w:val="auto"/>
                <w:sz w:val="24"/>
              </w:rPr>
              <w:t>、声环境</w:t>
            </w:r>
          </w:p>
          <w:p>
            <w:pPr>
              <w:spacing w:line="360" w:lineRule="auto"/>
              <w:ind w:firstLine="480" w:firstLineChars="200"/>
              <w:rPr>
                <w:color w:val="auto"/>
                <w:sz w:val="24"/>
                <w:szCs w:val="24"/>
              </w:rPr>
            </w:pPr>
            <w:r>
              <w:rPr>
                <w:rFonts w:hint="eastAsia"/>
                <w:iCs/>
                <w:color w:val="auto"/>
                <w:sz w:val="24"/>
                <w:szCs w:val="24"/>
              </w:rPr>
              <w:t>本工程场界四周执行《声环境质量标准》（</w:t>
            </w:r>
            <w:r>
              <w:rPr>
                <w:color w:val="auto"/>
              </w:rPr>
              <w:fldChar w:fldCharType="begin"/>
            </w:r>
            <w:r>
              <w:rPr>
                <w:color w:val="auto"/>
              </w:rPr>
              <w:instrText xml:space="preserve"> HYPERLINK "http://www.baidu.com/link?url=s1SkmXRnLAyMDg5XASAsHT4aJ9c87YiY3Pkg5Kl-k4Tk4D2XQHryrXXzp5PRiT7tSxBG6dI3L1IE-d5W6KvKu7swTb6FaHPZgb24Q5dLEZRmqXKTKC-4xrzcdOfePVvS" \t "_blank" </w:instrText>
            </w:r>
            <w:r>
              <w:rPr>
                <w:color w:val="auto"/>
              </w:rPr>
              <w:fldChar w:fldCharType="separate"/>
            </w:r>
            <w:r>
              <w:rPr>
                <w:iCs/>
                <w:color w:val="auto"/>
                <w:sz w:val="24"/>
                <w:szCs w:val="24"/>
              </w:rPr>
              <w:t>GB3096-2008</w:t>
            </w:r>
            <w:r>
              <w:rPr>
                <w:iCs/>
                <w:color w:val="auto"/>
                <w:sz w:val="24"/>
                <w:szCs w:val="24"/>
              </w:rPr>
              <w:fldChar w:fldCharType="end"/>
            </w:r>
            <w:r>
              <w:rPr>
                <w:rFonts w:hint="eastAsia"/>
                <w:iCs/>
                <w:color w:val="auto"/>
                <w:sz w:val="24"/>
                <w:szCs w:val="24"/>
              </w:rPr>
              <w:t>）中</w:t>
            </w:r>
            <w:r>
              <w:rPr>
                <w:iCs/>
                <w:color w:val="auto"/>
                <w:sz w:val="24"/>
                <w:szCs w:val="24"/>
              </w:rPr>
              <w:t>2</w:t>
            </w:r>
            <w:r>
              <w:rPr>
                <w:rFonts w:hint="eastAsia"/>
                <w:iCs/>
                <w:color w:val="auto"/>
                <w:sz w:val="24"/>
                <w:szCs w:val="24"/>
              </w:rPr>
              <w:t>类标准。</w:t>
            </w:r>
          </w:p>
          <w:p>
            <w:pPr>
              <w:adjustRightInd w:val="0"/>
              <w:snapToGrid w:val="0"/>
              <w:spacing w:line="276" w:lineRule="auto"/>
              <w:ind w:firstLine="480" w:firstLineChars="200"/>
              <w:rPr>
                <w:color w:val="auto"/>
                <w:sz w:val="24"/>
              </w:rPr>
            </w:pPr>
            <w:r>
              <w:rPr>
                <w:color w:val="auto"/>
                <w:sz w:val="24"/>
              </w:rPr>
              <w:t>2</w:t>
            </w:r>
            <w:r>
              <w:rPr>
                <w:rFonts w:hint="eastAsia"/>
                <w:color w:val="auto"/>
                <w:sz w:val="24"/>
              </w:rPr>
              <w:t>、电磁环境</w:t>
            </w:r>
          </w:p>
          <w:p>
            <w:pPr>
              <w:adjustRightInd w:val="0"/>
              <w:snapToGrid w:val="0"/>
              <w:spacing w:line="276" w:lineRule="auto"/>
              <w:ind w:firstLine="480" w:firstLineChars="200"/>
              <w:rPr>
                <w:color w:val="auto"/>
                <w:szCs w:val="21"/>
              </w:rPr>
            </w:pPr>
            <w:r>
              <w:rPr>
                <w:rFonts w:hint="eastAsia"/>
                <w:color w:val="auto"/>
                <w:sz w:val="24"/>
              </w:rPr>
              <w:t>工频电场、工频磁感应强度执行标准值参</w:t>
            </w:r>
            <w:r>
              <w:rPr>
                <w:rFonts w:hint="eastAsia" w:eastAsiaTheme="minorEastAsia"/>
                <w:color w:val="auto"/>
                <w:sz w:val="24"/>
                <w:szCs w:val="24"/>
              </w:rPr>
              <w:t>见</w:t>
            </w:r>
            <w:r>
              <w:rPr>
                <w:color w:val="auto"/>
              </w:rPr>
              <w:fldChar w:fldCharType="begin"/>
            </w:r>
            <w:r>
              <w:rPr>
                <w:color w:val="auto"/>
              </w:rPr>
              <w:instrText xml:space="preserve"> REF _Ref35434974 \h  \* MERGEFORMAT </w:instrText>
            </w:r>
            <w:r>
              <w:rPr>
                <w:color w:val="auto"/>
              </w:rPr>
              <w:fldChar w:fldCharType="separate"/>
            </w:r>
            <w:r>
              <w:rPr>
                <w:rFonts w:hint="eastAsia" w:eastAsiaTheme="minorEastAsia"/>
                <w:color w:val="auto"/>
                <w:sz w:val="24"/>
                <w:szCs w:val="24"/>
              </w:rPr>
              <w:t>表</w:t>
            </w:r>
            <w:r>
              <w:rPr>
                <w:rFonts w:hint="eastAsia" w:eastAsiaTheme="minorEastAsia"/>
                <w:color w:val="auto"/>
                <w:sz w:val="24"/>
                <w:szCs w:val="24"/>
              </w:rPr>
              <w:fldChar w:fldCharType="end"/>
            </w:r>
            <w:r>
              <w:rPr>
                <w:rFonts w:hint="eastAsia" w:eastAsiaTheme="minorEastAsia"/>
                <w:color w:val="auto"/>
                <w:sz w:val="24"/>
                <w:szCs w:val="24"/>
              </w:rPr>
              <w:t>。</w:t>
            </w:r>
          </w:p>
          <w:p>
            <w:pPr>
              <w:pStyle w:val="23"/>
              <w:keepNext/>
              <w:spacing w:before="0" w:after="0" w:line="276" w:lineRule="auto"/>
              <w:ind w:left="2100" w:leftChars="1000" w:firstLine="422"/>
              <w:jc w:val="center"/>
              <w:rPr>
                <w:rFonts w:ascii="Times New Roman" w:hAnsi="Times New Roman" w:cs="Times New Roman" w:eastAsiaTheme="minorEastAsia"/>
                <w:b/>
                <w:color w:val="auto"/>
                <w:sz w:val="21"/>
                <w:szCs w:val="21"/>
              </w:rPr>
            </w:pPr>
            <w:bookmarkStart w:id="21" w:name="_Ref35434974"/>
            <w:r>
              <w:rPr>
                <w:rFonts w:hint="eastAsia" w:ascii="Times New Roman" w:hAnsi="Times New Roman" w:cs="Times New Roman" w:eastAsiaTheme="minorEastAsia"/>
                <w:b/>
                <w:color w:val="auto"/>
                <w:sz w:val="21"/>
                <w:szCs w:val="21"/>
              </w:rPr>
              <w:t>表</w:t>
            </w:r>
            <w:bookmarkEnd w:id="21"/>
            <w:r>
              <w:rPr>
                <w:rFonts w:ascii="Times New Roman" w:hAnsi="Times New Roman" w:cs="Times New Roman" w:eastAsiaTheme="minorEastAsia"/>
                <w:b/>
                <w:color w:val="auto"/>
                <w:sz w:val="21"/>
                <w:szCs w:val="21"/>
              </w:rPr>
              <w:t xml:space="preserve">4-1   </w:t>
            </w:r>
            <w:r>
              <w:rPr>
                <w:rFonts w:hint="eastAsia" w:ascii="Times New Roman" w:hAnsi="Times New Roman" w:cs="Times New Roman" w:eastAsiaTheme="minorEastAsia"/>
                <w:b/>
                <w:color w:val="auto"/>
                <w:sz w:val="21"/>
                <w:szCs w:val="21"/>
              </w:rPr>
              <w:t>工频电场、工频磁感应强度评价标准值</w:t>
            </w:r>
          </w:p>
          <w:tbl>
            <w:tblPr>
              <w:tblStyle w:val="86"/>
              <w:tblW w:w="7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007"/>
              <w:gridCol w:w="3923"/>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pStyle w:val="236"/>
                    <w:spacing w:before="0" w:beforeAutospacing="0" w:after="0" w:afterAutospacing="0"/>
                    <w:rPr>
                      <w:rFonts w:ascii="Times New Roman" w:hAnsi="Times New Roman"/>
                      <w:color w:val="auto"/>
                    </w:rPr>
                  </w:pPr>
                  <w:r>
                    <w:rPr>
                      <w:rFonts w:hint="eastAsia" w:ascii="Times New Roman" w:hAnsi="Times New Roman"/>
                      <w:color w:val="auto"/>
                    </w:rPr>
                    <w:t>影响因子</w:t>
                  </w:r>
                </w:p>
              </w:tc>
              <w:tc>
                <w:tcPr>
                  <w:tcW w:w="4930" w:type="dxa"/>
                  <w:gridSpan w:val="2"/>
                  <w:tcBorders>
                    <w:top w:val="single" w:color="auto" w:sz="4" w:space="0"/>
                    <w:left w:val="single" w:color="auto" w:sz="4" w:space="0"/>
                    <w:bottom w:val="single" w:color="auto" w:sz="4" w:space="0"/>
                    <w:right w:val="single" w:color="auto" w:sz="4" w:space="0"/>
                  </w:tcBorders>
                  <w:vAlign w:val="center"/>
                </w:tcPr>
                <w:p>
                  <w:pPr>
                    <w:pStyle w:val="236"/>
                    <w:spacing w:before="0" w:beforeAutospacing="0" w:after="0" w:afterAutospacing="0"/>
                    <w:rPr>
                      <w:rFonts w:ascii="Times New Roman" w:hAnsi="Times New Roman"/>
                      <w:color w:val="auto"/>
                    </w:rPr>
                  </w:pPr>
                  <w:r>
                    <w:rPr>
                      <w:rFonts w:hint="eastAsia" w:ascii="Times New Roman" w:hAnsi="Times New Roman"/>
                      <w:color w:val="auto"/>
                    </w:rPr>
                    <w:t>评价标准</w:t>
                  </w:r>
                </w:p>
                <w:p>
                  <w:pPr>
                    <w:pStyle w:val="236"/>
                    <w:spacing w:before="0" w:beforeAutospacing="0" w:after="0" w:afterAutospacing="0"/>
                    <w:rPr>
                      <w:rFonts w:ascii="Times New Roman" w:hAnsi="Times New Roman"/>
                      <w:color w:val="auto"/>
                    </w:rPr>
                  </w:pPr>
                  <w:r>
                    <w:rPr>
                      <w:rFonts w:hint="eastAsia" w:ascii="Times New Roman" w:hAnsi="Times New Roman"/>
                      <w:color w:val="auto"/>
                    </w:rPr>
                    <w:t>（频率为</w:t>
                  </w:r>
                  <w:r>
                    <w:rPr>
                      <w:rFonts w:ascii="Times New Roman" w:hAnsi="Times New Roman"/>
                      <w:color w:val="auto"/>
                    </w:rPr>
                    <w:t>50Hz</w:t>
                  </w:r>
                  <w:r>
                    <w:rPr>
                      <w:rFonts w:hint="eastAsia" w:ascii="Times New Roman" w:hAnsi="Times New Roman"/>
                      <w:color w:val="auto"/>
                    </w:rPr>
                    <w:t>时公众曝露控制限值）</w:t>
                  </w:r>
                </w:p>
              </w:tc>
              <w:tc>
                <w:tcPr>
                  <w:tcW w:w="1560" w:type="dxa"/>
                  <w:tcBorders>
                    <w:top w:val="single" w:color="auto" w:sz="4" w:space="0"/>
                    <w:left w:val="single" w:color="auto" w:sz="4" w:space="0"/>
                    <w:bottom w:val="single" w:color="auto" w:sz="4" w:space="0"/>
                    <w:right w:val="single" w:color="auto" w:sz="4" w:space="0"/>
                  </w:tcBorders>
                  <w:vAlign w:val="center"/>
                </w:tcPr>
                <w:p>
                  <w:pPr>
                    <w:pStyle w:val="236"/>
                    <w:spacing w:before="0" w:beforeAutospacing="0" w:after="0" w:afterAutospacing="0"/>
                    <w:rPr>
                      <w:rFonts w:ascii="Times New Roman" w:hAnsi="Times New Roman"/>
                      <w:color w:val="auto"/>
                    </w:rPr>
                  </w:pPr>
                  <w:r>
                    <w:rPr>
                      <w:rFonts w:hint="eastAsia" w:ascii="Times New Roman" w:hAnsi="Times New Roman"/>
                      <w:color w:val="auto"/>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 w:hRule="atLeast"/>
                <w:jc w:val="center"/>
              </w:trPr>
              <w:tc>
                <w:tcPr>
                  <w:tcW w:w="1264" w:type="dxa"/>
                  <w:vMerge w:val="restart"/>
                  <w:tcBorders>
                    <w:top w:val="single" w:color="auto" w:sz="4" w:space="0"/>
                    <w:left w:val="single" w:color="auto" w:sz="4" w:space="0"/>
                    <w:right w:val="single" w:color="auto" w:sz="4" w:space="0"/>
                  </w:tcBorders>
                  <w:vAlign w:val="center"/>
                </w:tcPr>
                <w:p>
                  <w:pPr>
                    <w:pStyle w:val="236"/>
                    <w:spacing w:before="0" w:beforeAutospacing="0" w:after="0" w:afterAutospacing="0"/>
                    <w:rPr>
                      <w:rFonts w:ascii="Times New Roman" w:hAnsi="Times New Roman"/>
                      <w:color w:val="auto"/>
                    </w:rPr>
                  </w:pPr>
                  <w:r>
                    <w:rPr>
                      <w:rFonts w:hint="eastAsia" w:ascii="Times New Roman" w:hAnsi="Times New Roman"/>
                      <w:color w:val="auto"/>
                    </w:rPr>
                    <w:t>工频电场</w:t>
                  </w:r>
                </w:p>
              </w:tc>
              <w:tc>
                <w:tcPr>
                  <w:tcW w:w="1007" w:type="dxa"/>
                  <w:tcBorders>
                    <w:top w:val="single" w:color="auto" w:sz="4" w:space="0"/>
                    <w:left w:val="single" w:color="auto" w:sz="4" w:space="0"/>
                    <w:bottom w:val="single" w:color="auto" w:sz="4" w:space="0"/>
                    <w:right w:val="single" w:color="auto" w:sz="4" w:space="0"/>
                  </w:tcBorders>
                  <w:vAlign w:val="center"/>
                </w:tcPr>
                <w:p>
                  <w:pPr>
                    <w:pStyle w:val="236"/>
                    <w:spacing w:before="0" w:beforeAutospacing="0" w:after="0" w:afterAutospacing="0"/>
                    <w:rPr>
                      <w:rFonts w:ascii="Times New Roman" w:hAnsi="Times New Roman"/>
                      <w:color w:val="auto"/>
                    </w:rPr>
                  </w:pPr>
                  <w:r>
                    <w:rPr>
                      <w:rFonts w:ascii="Times New Roman" w:hAnsi="Times New Roman"/>
                      <w:color w:val="auto"/>
                    </w:rPr>
                    <w:t>4kV/m</w:t>
                  </w:r>
                </w:p>
              </w:tc>
              <w:tc>
                <w:tcPr>
                  <w:tcW w:w="3923" w:type="dxa"/>
                  <w:tcBorders>
                    <w:top w:val="single" w:color="auto" w:sz="4" w:space="0"/>
                    <w:left w:val="single" w:color="auto" w:sz="4" w:space="0"/>
                    <w:bottom w:val="single" w:color="auto" w:sz="4" w:space="0"/>
                    <w:right w:val="single" w:color="auto" w:sz="4" w:space="0"/>
                  </w:tcBorders>
                  <w:vAlign w:val="center"/>
                </w:tcPr>
                <w:p>
                  <w:pPr>
                    <w:pStyle w:val="236"/>
                    <w:spacing w:before="0" w:beforeAutospacing="0" w:after="0" w:afterAutospacing="0"/>
                    <w:rPr>
                      <w:rFonts w:ascii="Times New Roman" w:hAnsi="Times New Roman"/>
                      <w:color w:val="auto"/>
                    </w:rPr>
                  </w:pPr>
                  <w:r>
                    <w:rPr>
                      <w:rFonts w:hint="eastAsia" w:ascii="Times New Roman" w:hAnsi="Times New Roman"/>
                      <w:color w:val="auto"/>
                    </w:rPr>
                    <w:t>变电站周边和交流输电线路电磁环境敏感目标处</w:t>
                  </w:r>
                </w:p>
              </w:tc>
              <w:tc>
                <w:tcPr>
                  <w:tcW w:w="1560" w:type="dxa"/>
                  <w:vMerge w:val="restart"/>
                  <w:tcBorders>
                    <w:top w:val="single" w:color="auto" w:sz="4" w:space="0"/>
                    <w:left w:val="single" w:color="auto" w:sz="4" w:space="0"/>
                    <w:right w:val="single" w:color="auto" w:sz="4" w:space="0"/>
                  </w:tcBorders>
                  <w:vAlign w:val="center"/>
                </w:tcPr>
                <w:p>
                  <w:pPr>
                    <w:pStyle w:val="236"/>
                    <w:spacing w:before="0" w:beforeAutospacing="0" w:after="0" w:afterAutospacing="0"/>
                    <w:rPr>
                      <w:rFonts w:ascii="Times New Roman" w:hAnsi="Times New Roman"/>
                      <w:color w:val="auto"/>
                    </w:rPr>
                  </w:pPr>
                  <w:r>
                    <w:rPr>
                      <w:rFonts w:hint="eastAsia" w:ascii="Times New Roman" w:hAnsi="Times New Roman"/>
                      <w:color w:val="auto"/>
                    </w:rPr>
                    <w:t>《电磁环境控制限值》（</w:t>
                  </w:r>
                  <w:r>
                    <w:rPr>
                      <w:rFonts w:ascii="Times New Roman" w:hAnsi="Times New Roman"/>
                      <w:color w:val="auto"/>
                    </w:rPr>
                    <w:t>GB 8702-2014</w:t>
                  </w:r>
                  <w:r>
                    <w:rPr>
                      <w:rFonts w:hint="eastAsia" w:ascii="Times New Roman" w:hAns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 w:hRule="atLeast"/>
                <w:jc w:val="center"/>
              </w:trPr>
              <w:tc>
                <w:tcPr>
                  <w:tcW w:w="1264" w:type="dxa"/>
                  <w:vMerge w:val="continue"/>
                  <w:tcBorders>
                    <w:left w:val="single" w:color="auto" w:sz="4" w:space="0"/>
                    <w:right w:val="single" w:color="auto" w:sz="4" w:space="0"/>
                  </w:tcBorders>
                  <w:vAlign w:val="center"/>
                </w:tcPr>
                <w:p>
                  <w:pPr>
                    <w:pStyle w:val="236"/>
                    <w:spacing w:before="0" w:beforeAutospacing="0" w:after="0" w:afterAutospacing="0"/>
                    <w:rPr>
                      <w:rFonts w:ascii="Times New Roman" w:hAnsi="Times New Roman"/>
                      <w:color w:val="auto"/>
                    </w:rPr>
                  </w:pPr>
                </w:p>
              </w:tc>
              <w:tc>
                <w:tcPr>
                  <w:tcW w:w="1007" w:type="dxa"/>
                  <w:tcBorders>
                    <w:top w:val="single" w:color="auto" w:sz="4" w:space="0"/>
                    <w:left w:val="single" w:color="auto" w:sz="4" w:space="0"/>
                    <w:bottom w:val="single" w:color="auto" w:sz="4" w:space="0"/>
                    <w:right w:val="single" w:color="auto" w:sz="4" w:space="0"/>
                  </w:tcBorders>
                  <w:vAlign w:val="center"/>
                </w:tcPr>
                <w:p>
                  <w:pPr>
                    <w:pStyle w:val="236"/>
                    <w:spacing w:before="0" w:beforeAutospacing="0" w:after="0" w:afterAutospacing="0"/>
                    <w:rPr>
                      <w:rFonts w:ascii="Times New Roman" w:hAnsi="Times New Roman"/>
                      <w:color w:val="auto"/>
                    </w:rPr>
                  </w:pPr>
                  <w:r>
                    <w:rPr>
                      <w:rFonts w:ascii="Times New Roman" w:hAnsi="Times New Roman"/>
                      <w:color w:val="auto"/>
                    </w:rPr>
                    <w:t>10kV/m</w:t>
                  </w:r>
                </w:p>
              </w:tc>
              <w:tc>
                <w:tcPr>
                  <w:tcW w:w="3923" w:type="dxa"/>
                  <w:tcBorders>
                    <w:top w:val="single" w:color="auto" w:sz="4" w:space="0"/>
                    <w:left w:val="single" w:color="auto" w:sz="4" w:space="0"/>
                    <w:bottom w:val="single" w:color="auto" w:sz="4" w:space="0"/>
                    <w:right w:val="single" w:color="auto" w:sz="4" w:space="0"/>
                  </w:tcBorders>
                  <w:vAlign w:val="center"/>
                </w:tcPr>
                <w:p>
                  <w:pPr>
                    <w:pStyle w:val="236"/>
                    <w:spacing w:before="0" w:beforeAutospacing="0" w:after="0" w:afterAutospacing="0"/>
                    <w:rPr>
                      <w:rFonts w:ascii="Times New Roman" w:hAnsi="Times New Roman"/>
                      <w:color w:val="auto"/>
                    </w:rPr>
                  </w:pPr>
                  <w:r>
                    <w:rPr>
                      <w:rFonts w:hint="eastAsia" w:ascii="Times New Roman" w:hAnsi="Times New Roman"/>
                      <w:color w:val="auto"/>
                    </w:rPr>
                    <w:t>架空输电线路线下的耕地、园地、牧草地、畜禽饲养地、养殖水面、道路等场所</w:t>
                  </w:r>
                </w:p>
              </w:tc>
              <w:tc>
                <w:tcPr>
                  <w:tcW w:w="1560" w:type="dxa"/>
                  <w:vMerge w:val="continue"/>
                  <w:tcBorders>
                    <w:top w:val="single" w:color="auto" w:sz="4" w:space="0"/>
                    <w:left w:val="single" w:color="auto" w:sz="4" w:space="0"/>
                    <w:right w:val="single" w:color="auto" w:sz="4" w:space="0"/>
                  </w:tcBorders>
                  <w:vAlign w:val="center"/>
                </w:tcPr>
                <w:p>
                  <w:pPr>
                    <w:pStyle w:val="236"/>
                    <w:spacing w:before="0" w:beforeAutospacing="0" w:after="0" w:afterAutospacing="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64" w:type="dxa"/>
                  <w:tcBorders>
                    <w:top w:val="single" w:color="auto" w:sz="4" w:space="0"/>
                    <w:left w:val="single" w:color="auto" w:sz="4" w:space="0"/>
                    <w:bottom w:val="single" w:color="auto" w:sz="4" w:space="0"/>
                    <w:right w:val="single" w:color="auto" w:sz="4" w:space="0"/>
                  </w:tcBorders>
                  <w:vAlign w:val="center"/>
                </w:tcPr>
                <w:p>
                  <w:pPr>
                    <w:pStyle w:val="236"/>
                    <w:spacing w:before="0" w:beforeAutospacing="0" w:after="0" w:afterAutospacing="0"/>
                    <w:rPr>
                      <w:rFonts w:ascii="Times New Roman" w:hAnsi="Times New Roman"/>
                      <w:color w:val="auto"/>
                    </w:rPr>
                  </w:pPr>
                  <w:r>
                    <w:rPr>
                      <w:rFonts w:hint="eastAsia" w:ascii="Times New Roman" w:hAnsi="Times New Roman"/>
                      <w:color w:val="auto"/>
                    </w:rPr>
                    <w:t>工频磁感应强度</w:t>
                  </w:r>
                </w:p>
              </w:tc>
              <w:tc>
                <w:tcPr>
                  <w:tcW w:w="4930" w:type="dxa"/>
                  <w:gridSpan w:val="2"/>
                  <w:tcBorders>
                    <w:top w:val="single" w:color="auto" w:sz="4" w:space="0"/>
                    <w:left w:val="single" w:color="auto" w:sz="4" w:space="0"/>
                    <w:bottom w:val="single" w:color="auto" w:sz="4" w:space="0"/>
                    <w:right w:val="single" w:color="auto" w:sz="4" w:space="0"/>
                  </w:tcBorders>
                  <w:vAlign w:val="center"/>
                </w:tcPr>
                <w:p>
                  <w:pPr>
                    <w:pStyle w:val="236"/>
                    <w:spacing w:before="0" w:beforeAutospacing="0" w:after="0" w:afterAutospacing="0"/>
                    <w:rPr>
                      <w:rFonts w:ascii="Times New Roman" w:hAnsi="Times New Roman"/>
                      <w:color w:val="auto"/>
                    </w:rPr>
                  </w:pPr>
                  <w:r>
                    <w:rPr>
                      <w:rFonts w:ascii="Times New Roman" w:hAnsi="Times New Roman"/>
                      <w:color w:val="auto"/>
                    </w:rPr>
                    <w:t>100μT</w:t>
                  </w:r>
                </w:p>
              </w:tc>
              <w:tc>
                <w:tcPr>
                  <w:tcW w:w="1560" w:type="dxa"/>
                  <w:vMerge w:val="continue"/>
                  <w:tcBorders>
                    <w:left w:val="single" w:color="auto" w:sz="4" w:space="0"/>
                    <w:right w:val="single" w:color="auto" w:sz="4" w:space="0"/>
                  </w:tcBorders>
                  <w:vAlign w:val="center"/>
                </w:tcPr>
                <w:p>
                  <w:pPr>
                    <w:pStyle w:val="236"/>
                    <w:spacing w:before="0" w:beforeAutospacing="0" w:after="0" w:afterAutospacing="0"/>
                    <w:rPr>
                      <w:rFonts w:ascii="Times New Roman" w:hAnsi="Times New Roman"/>
                      <w:color w:val="auto"/>
                    </w:rPr>
                  </w:pPr>
                </w:p>
              </w:tc>
            </w:tr>
          </w:tbl>
          <w:p>
            <w:pPr>
              <w:pStyle w:val="286"/>
              <w:numPr>
                <w:ilvl w:val="-1"/>
                <w:numId w:val="0"/>
              </w:numPr>
              <w:ind w:firstLine="480" w:firstLineChars="200"/>
              <w:rPr>
                <w:rFonts w:hint="default"/>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8" w:hRule="atLeast"/>
        </w:trPr>
        <w:tc>
          <w:tcPr>
            <w:tcW w:w="843" w:type="dxa"/>
            <w:vAlign w:val="center"/>
          </w:tcPr>
          <w:p>
            <w:pPr>
              <w:spacing w:line="276" w:lineRule="auto"/>
              <w:jc w:val="center"/>
              <w:rPr>
                <w:color w:val="auto"/>
                <w:sz w:val="24"/>
                <w:szCs w:val="24"/>
              </w:rPr>
            </w:pPr>
            <w:r>
              <w:rPr>
                <w:rFonts w:hint="eastAsia"/>
                <w:color w:val="auto"/>
                <w:sz w:val="24"/>
                <w:szCs w:val="24"/>
              </w:rPr>
              <w:t>污</w:t>
            </w:r>
          </w:p>
          <w:p>
            <w:pPr>
              <w:spacing w:line="276" w:lineRule="auto"/>
              <w:jc w:val="center"/>
              <w:rPr>
                <w:color w:val="auto"/>
                <w:sz w:val="24"/>
                <w:szCs w:val="24"/>
              </w:rPr>
            </w:pPr>
            <w:r>
              <w:rPr>
                <w:rFonts w:hint="eastAsia"/>
                <w:color w:val="auto"/>
                <w:sz w:val="24"/>
                <w:szCs w:val="24"/>
              </w:rPr>
              <w:t>染</w:t>
            </w:r>
          </w:p>
          <w:p>
            <w:pPr>
              <w:spacing w:line="276" w:lineRule="auto"/>
              <w:jc w:val="center"/>
              <w:rPr>
                <w:color w:val="auto"/>
                <w:sz w:val="24"/>
                <w:szCs w:val="24"/>
              </w:rPr>
            </w:pPr>
            <w:r>
              <w:rPr>
                <w:rFonts w:hint="eastAsia"/>
                <w:color w:val="auto"/>
                <w:sz w:val="24"/>
                <w:szCs w:val="24"/>
              </w:rPr>
              <w:t>物</w:t>
            </w:r>
          </w:p>
          <w:p>
            <w:pPr>
              <w:spacing w:line="276" w:lineRule="auto"/>
              <w:jc w:val="center"/>
              <w:rPr>
                <w:color w:val="auto"/>
                <w:sz w:val="24"/>
                <w:szCs w:val="24"/>
              </w:rPr>
            </w:pPr>
            <w:r>
              <w:rPr>
                <w:rFonts w:hint="eastAsia"/>
                <w:color w:val="auto"/>
                <w:sz w:val="24"/>
                <w:szCs w:val="24"/>
              </w:rPr>
              <w:t>排</w:t>
            </w:r>
          </w:p>
          <w:p>
            <w:pPr>
              <w:spacing w:line="276" w:lineRule="auto"/>
              <w:jc w:val="center"/>
              <w:rPr>
                <w:color w:val="auto"/>
                <w:sz w:val="24"/>
                <w:szCs w:val="24"/>
              </w:rPr>
            </w:pPr>
            <w:r>
              <w:rPr>
                <w:rFonts w:hint="eastAsia"/>
                <w:color w:val="auto"/>
                <w:sz w:val="24"/>
                <w:szCs w:val="24"/>
              </w:rPr>
              <w:t>放</w:t>
            </w:r>
          </w:p>
          <w:p>
            <w:pPr>
              <w:spacing w:line="276" w:lineRule="auto"/>
              <w:jc w:val="center"/>
              <w:rPr>
                <w:color w:val="auto"/>
                <w:sz w:val="24"/>
                <w:szCs w:val="24"/>
              </w:rPr>
            </w:pPr>
            <w:r>
              <w:rPr>
                <w:rFonts w:hint="eastAsia"/>
                <w:color w:val="auto"/>
                <w:sz w:val="24"/>
                <w:szCs w:val="24"/>
              </w:rPr>
              <w:t>标</w:t>
            </w:r>
          </w:p>
          <w:p>
            <w:pPr>
              <w:spacing w:line="276" w:lineRule="auto"/>
              <w:jc w:val="center"/>
              <w:rPr>
                <w:color w:val="auto"/>
                <w:sz w:val="24"/>
                <w:szCs w:val="24"/>
              </w:rPr>
            </w:pPr>
            <w:r>
              <w:rPr>
                <w:rFonts w:hint="eastAsia"/>
                <w:color w:val="auto"/>
                <w:sz w:val="24"/>
                <w:szCs w:val="24"/>
              </w:rPr>
              <w:t>准</w:t>
            </w:r>
          </w:p>
        </w:tc>
        <w:tc>
          <w:tcPr>
            <w:tcW w:w="7980" w:type="dxa"/>
          </w:tcPr>
          <w:p>
            <w:pPr>
              <w:adjustRightInd w:val="0"/>
              <w:snapToGrid w:val="0"/>
              <w:spacing w:line="276" w:lineRule="auto"/>
              <w:ind w:firstLine="480" w:firstLineChars="200"/>
              <w:rPr>
                <w:color w:val="auto"/>
                <w:sz w:val="24"/>
              </w:rPr>
            </w:pPr>
          </w:p>
          <w:p>
            <w:pPr>
              <w:adjustRightInd w:val="0"/>
              <w:snapToGrid w:val="0"/>
              <w:spacing w:line="360" w:lineRule="auto"/>
              <w:ind w:firstLine="480" w:firstLineChars="200"/>
              <w:rPr>
                <w:color w:val="auto"/>
                <w:sz w:val="24"/>
              </w:rPr>
            </w:pPr>
            <w:r>
              <w:rPr>
                <w:rFonts w:hint="eastAsia"/>
                <w:color w:val="auto"/>
                <w:sz w:val="24"/>
              </w:rPr>
              <w:t>运行期变电站场界噪声执</w:t>
            </w:r>
            <w:r>
              <w:rPr>
                <w:rFonts w:hint="eastAsia" w:eastAsiaTheme="minorEastAsia"/>
                <w:color w:val="auto"/>
                <w:sz w:val="24"/>
                <w:szCs w:val="24"/>
              </w:rPr>
              <w:t>行《工业企业厂界环境噪声排放标准》（</w:t>
            </w:r>
            <w:r>
              <w:rPr>
                <w:rFonts w:eastAsiaTheme="minorEastAsia"/>
                <w:color w:val="auto"/>
                <w:sz w:val="24"/>
                <w:szCs w:val="24"/>
              </w:rPr>
              <w:t>GB12348-2008</w:t>
            </w:r>
            <w:r>
              <w:rPr>
                <w:rFonts w:hint="eastAsia" w:eastAsiaTheme="minorEastAsia"/>
                <w:color w:val="auto"/>
                <w:sz w:val="24"/>
                <w:szCs w:val="24"/>
              </w:rPr>
              <w:t>）中相应标准，详见</w:t>
            </w:r>
            <w:r>
              <w:rPr>
                <w:color w:val="auto"/>
              </w:rPr>
              <w:fldChar w:fldCharType="begin"/>
            </w:r>
            <w:r>
              <w:rPr>
                <w:color w:val="auto"/>
              </w:rPr>
              <w:instrText xml:space="preserve"> REF _Ref35434982 \h  \* MERGEFORMAT </w:instrText>
            </w:r>
            <w:r>
              <w:rPr>
                <w:color w:val="auto"/>
              </w:rPr>
              <w:fldChar w:fldCharType="separate"/>
            </w:r>
            <w:r>
              <w:rPr>
                <w:rFonts w:hint="eastAsia" w:eastAsiaTheme="minorEastAsia"/>
                <w:color w:val="auto"/>
                <w:sz w:val="24"/>
                <w:szCs w:val="24"/>
              </w:rPr>
              <w:t>表</w:t>
            </w:r>
            <w:r>
              <w:rPr>
                <w:rFonts w:hint="eastAsia" w:eastAsiaTheme="minorEastAsia"/>
                <w:color w:val="auto"/>
                <w:sz w:val="24"/>
                <w:szCs w:val="24"/>
              </w:rPr>
              <w:fldChar w:fldCharType="end"/>
            </w:r>
            <w:r>
              <w:rPr>
                <w:color w:val="auto"/>
              </w:rPr>
              <w:t>4-2</w:t>
            </w:r>
            <w:r>
              <w:rPr>
                <w:rFonts w:hint="eastAsia" w:eastAsiaTheme="minorEastAsia"/>
                <w:color w:val="auto"/>
                <w:sz w:val="24"/>
                <w:szCs w:val="24"/>
              </w:rPr>
              <w:t>。</w:t>
            </w:r>
          </w:p>
          <w:p>
            <w:pPr>
              <w:pStyle w:val="23"/>
              <w:keepNext/>
              <w:tabs>
                <w:tab w:val="left" w:pos="1620"/>
              </w:tabs>
              <w:spacing w:before="0" w:after="0" w:line="276" w:lineRule="auto"/>
              <w:ind w:left="1260" w:leftChars="600" w:firstLine="422"/>
              <w:jc w:val="center"/>
              <w:rPr>
                <w:rFonts w:ascii="Times New Roman" w:hAnsi="Times New Roman" w:cs="Times New Roman" w:eastAsiaTheme="minorEastAsia"/>
                <w:b/>
                <w:color w:val="auto"/>
                <w:sz w:val="21"/>
                <w:szCs w:val="21"/>
              </w:rPr>
            </w:pPr>
            <w:bookmarkStart w:id="22" w:name="_Ref35434982"/>
            <w:r>
              <w:rPr>
                <w:rFonts w:hint="eastAsia" w:ascii="Times New Roman" w:hAnsi="Times New Roman" w:cs="Times New Roman" w:eastAsiaTheme="minorEastAsia"/>
                <w:b/>
                <w:color w:val="auto"/>
                <w:sz w:val="21"/>
                <w:szCs w:val="21"/>
              </w:rPr>
              <w:t>表</w:t>
            </w:r>
            <w:bookmarkEnd w:id="22"/>
            <w:r>
              <w:rPr>
                <w:rFonts w:ascii="Times New Roman" w:hAnsi="Times New Roman" w:cs="Times New Roman" w:eastAsiaTheme="minorEastAsia"/>
                <w:b/>
                <w:color w:val="auto"/>
                <w:sz w:val="21"/>
                <w:szCs w:val="21"/>
              </w:rPr>
              <w:t xml:space="preserve">4-2  </w:t>
            </w:r>
            <w:r>
              <w:rPr>
                <w:rFonts w:hint="eastAsia" w:ascii="Times New Roman" w:hAnsi="Times New Roman" w:cs="Times New Roman" w:eastAsiaTheme="minorEastAsia"/>
                <w:b/>
                <w:color w:val="auto"/>
                <w:sz w:val="21"/>
                <w:szCs w:val="21"/>
              </w:rPr>
              <w:t>本工程变电站厂界噪声标准执行情况一览</w:t>
            </w:r>
          </w:p>
          <w:tbl>
            <w:tblPr>
              <w:tblStyle w:val="87"/>
              <w:tblW w:w="774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02"/>
              <w:gridCol w:w="992"/>
              <w:gridCol w:w="1134"/>
              <w:gridCol w:w="851"/>
              <w:gridCol w:w="30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2" w:type="dxa"/>
                  <w:vAlign w:val="center"/>
                </w:tcPr>
                <w:p>
                  <w:pPr>
                    <w:jc w:val="center"/>
                    <w:rPr>
                      <w:rFonts w:eastAsiaTheme="minorEastAsia"/>
                      <w:color w:val="auto"/>
                      <w:szCs w:val="21"/>
                    </w:rPr>
                  </w:pPr>
                  <w:r>
                    <w:rPr>
                      <w:rFonts w:hint="eastAsia" w:eastAsiaTheme="minorEastAsia"/>
                      <w:color w:val="auto"/>
                      <w:szCs w:val="21"/>
                    </w:rPr>
                    <w:t>名称</w:t>
                  </w:r>
                </w:p>
              </w:tc>
              <w:tc>
                <w:tcPr>
                  <w:tcW w:w="992" w:type="dxa"/>
                  <w:vAlign w:val="center"/>
                </w:tcPr>
                <w:p>
                  <w:pPr>
                    <w:jc w:val="center"/>
                    <w:rPr>
                      <w:rFonts w:eastAsiaTheme="minorEastAsia"/>
                      <w:color w:val="auto"/>
                      <w:szCs w:val="21"/>
                    </w:rPr>
                  </w:pPr>
                  <w:r>
                    <w:rPr>
                      <w:rFonts w:hint="eastAsia" w:eastAsiaTheme="minorEastAsia"/>
                      <w:color w:val="auto"/>
                      <w:szCs w:val="21"/>
                    </w:rPr>
                    <w:t>噪声排放标准</w:t>
                  </w:r>
                </w:p>
              </w:tc>
              <w:tc>
                <w:tcPr>
                  <w:tcW w:w="1134" w:type="dxa"/>
                  <w:vAlign w:val="center"/>
                </w:tcPr>
                <w:p>
                  <w:pPr>
                    <w:jc w:val="center"/>
                    <w:rPr>
                      <w:rFonts w:eastAsiaTheme="minorEastAsia"/>
                      <w:color w:val="auto"/>
                      <w:szCs w:val="21"/>
                    </w:rPr>
                  </w:pPr>
                  <w:r>
                    <w:rPr>
                      <w:rFonts w:hint="eastAsia" w:eastAsiaTheme="minorEastAsia"/>
                      <w:color w:val="auto"/>
                      <w:szCs w:val="21"/>
                    </w:rPr>
                    <w:t>标准限值</w:t>
                  </w:r>
                </w:p>
              </w:tc>
              <w:tc>
                <w:tcPr>
                  <w:tcW w:w="851" w:type="dxa"/>
                  <w:vAlign w:val="center"/>
                </w:tcPr>
                <w:p>
                  <w:pPr>
                    <w:jc w:val="center"/>
                    <w:rPr>
                      <w:rFonts w:eastAsiaTheme="minorEastAsia"/>
                      <w:color w:val="auto"/>
                      <w:szCs w:val="21"/>
                    </w:rPr>
                  </w:pPr>
                  <w:r>
                    <w:rPr>
                      <w:rFonts w:hint="eastAsia"/>
                      <w:color w:val="auto"/>
                    </w:rPr>
                    <w:t>备注</w:t>
                  </w:r>
                </w:p>
              </w:tc>
              <w:tc>
                <w:tcPr>
                  <w:tcW w:w="3070" w:type="dxa"/>
                  <w:vAlign w:val="center"/>
                </w:tcPr>
                <w:p>
                  <w:pPr>
                    <w:jc w:val="center"/>
                    <w:rPr>
                      <w:rFonts w:eastAsiaTheme="minorEastAsia"/>
                      <w:color w:val="auto"/>
                      <w:szCs w:val="21"/>
                    </w:rPr>
                  </w:pPr>
                  <w:r>
                    <w:rPr>
                      <w:rFonts w:hint="eastAsia" w:eastAsiaTheme="minorEastAsia"/>
                      <w:color w:val="auto"/>
                      <w:szCs w:val="21"/>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1702" w:type="dxa"/>
                  <w:vAlign w:val="center"/>
                </w:tcPr>
                <w:p>
                  <w:pPr>
                    <w:jc w:val="center"/>
                    <w:rPr>
                      <w:rFonts w:eastAsiaTheme="minorEastAsia"/>
                      <w:color w:val="auto"/>
                      <w:szCs w:val="21"/>
                    </w:rPr>
                  </w:pPr>
                  <w:r>
                    <w:rPr>
                      <w:rFonts w:hint="eastAsia" w:eastAsiaTheme="minorEastAsia"/>
                      <w:color w:val="auto"/>
                      <w:szCs w:val="21"/>
                    </w:rPr>
                    <w:t>儒林</w:t>
                  </w:r>
                  <w:r>
                    <w:rPr>
                      <w:rFonts w:eastAsiaTheme="minorEastAsia"/>
                      <w:color w:val="auto"/>
                      <w:szCs w:val="21"/>
                    </w:rPr>
                    <w:t>100MW/200MWh</w:t>
                  </w:r>
                  <w:r>
                    <w:rPr>
                      <w:rFonts w:hint="eastAsia" w:eastAsiaTheme="minorEastAsia"/>
                      <w:color w:val="auto"/>
                      <w:szCs w:val="21"/>
                    </w:rPr>
                    <w:t>储能电站项目</w:t>
                  </w:r>
                </w:p>
              </w:tc>
              <w:tc>
                <w:tcPr>
                  <w:tcW w:w="992" w:type="dxa"/>
                  <w:vAlign w:val="center"/>
                </w:tcPr>
                <w:p>
                  <w:pPr>
                    <w:jc w:val="center"/>
                    <w:rPr>
                      <w:rFonts w:eastAsiaTheme="minorEastAsia"/>
                      <w:color w:val="auto"/>
                      <w:szCs w:val="21"/>
                    </w:rPr>
                  </w:pPr>
                  <w:r>
                    <w:rPr>
                      <w:rFonts w:eastAsiaTheme="minorEastAsia"/>
                      <w:color w:val="auto"/>
                      <w:szCs w:val="21"/>
                    </w:rPr>
                    <w:t>2</w:t>
                  </w:r>
                  <w:r>
                    <w:rPr>
                      <w:rFonts w:hint="eastAsia" w:eastAsiaTheme="minorEastAsia"/>
                      <w:color w:val="auto"/>
                      <w:szCs w:val="21"/>
                    </w:rPr>
                    <w:t>类</w:t>
                  </w:r>
                </w:p>
              </w:tc>
              <w:tc>
                <w:tcPr>
                  <w:tcW w:w="1134" w:type="dxa"/>
                  <w:vAlign w:val="center"/>
                </w:tcPr>
                <w:p>
                  <w:pPr>
                    <w:jc w:val="center"/>
                    <w:rPr>
                      <w:rFonts w:eastAsiaTheme="minorEastAsia"/>
                      <w:color w:val="auto"/>
                      <w:szCs w:val="21"/>
                    </w:rPr>
                  </w:pPr>
                  <w:r>
                    <w:rPr>
                      <w:rFonts w:eastAsiaTheme="minorEastAsia"/>
                      <w:color w:val="auto"/>
                      <w:szCs w:val="21"/>
                    </w:rPr>
                    <w:t>60/50</w:t>
                  </w:r>
                </w:p>
              </w:tc>
              <w:tc>
                <w:tcPr>
                  <w:tcW w:w="851" w:type="dxa"/>
                  <w:vAlign w:val="center"/>
                </w:tcPr>
                <w:p>
                  <w:pPr>
                    <w:jc w:val="center"/>
                    <w:rPr>
                      <w:rFonts w:eastAsiaTheme="minorEastAsia"/>
                      <w:color w:val="auto"/>
                      <w:szCs w:val="21"/>
                    </w:rPr>
                  </w:pPr>
                  <w:r>
                    <w:rPr>
                      <w:rFonts w:hint="eastAsia"/>
                      <w:color w:val="auto"/>
                    </w:rPr>
                    <w:t>新建</w:t>
                  </w:r>
                </w:p>
              </w:tc>
              <w:tc>
                <w:tcPr>
                  <w:tcW w:w="3070" w:type="dxa"/>
                  <w:vAlign w:val="center"/>
                </w:tcPr>
                <w:p>
                  <w:pPr>
                    <w:jc w:val="center"/>
                    <w:rPr>
                      <w:rFonts w:eastAsiaTheme="minorEastAsia"/>
                      <w:color w:val="auto"/>
                      <w:szCs w:val="21"/>
                    </w:rPr>
                  </w:pPr>
                  <w:r>
                    <w:rPr>
                      <w:rFonts w:hint="eastAsia" w:eastAsiaTheme="minorEastAsia"/>
                      <w:color w:val="auto"/>
                      <w:szCs w:val="21"/>
                    </w:rPr>
                    <w:t>《工业企业厂界环境噪声排放标准》（</w:t>
                  </w:r>
                  <w:r>
                    <w:rPr>
                      <w:rFonts w:eastAsiaTheme="minorEastAsia"/>
                      <w:color w:val="auto"/>
                      <w:szCs w:val="21"/>
                    </w:rPr>
                    <w:t>GB12348-2008</w:t>
                  </w:r>
                  <w:r>
                    <w:rPr>
                      <w:rFonts w:hint="eastAsia" w:eastAsiaTheme="minorEastAsia"/>
                      <w:color w:val="auto"/>
                      <w:szCs w:val="21"/>
                    </w:rPr>
                    <w:t>）</w:t>
                  </w:r>
                </w:p>
              </w:tc>
            </w:tr>
          </w:tbl>
          <w:p>
            <w:pPr>
              <w:ind w:firstLine="539"/>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97" w:hRule="atLeast"/>
        </w:trPr>
        <w:tc>
          <w:tcPr>
            <w:tcW w:w="843" w:type="dxa"/>
            <w:vAlign w:val="center"/>
          </w:tcPr>
          <w:p>
            <w:pPr>
              <w:spacing w:line="276" w:lineRule="auto"/>
              <w:jc w:val="center"/>
              <w:rPr>
                <w:color w:val="auto"/>
                <w:sz w:val="24"/>
                <w:szCs w:val="24"/>
              </w:rPr>
            </w:pPr>
            <w:r>
              <w:rPr>
                <w:rFonts w:hint="eastAsia"/>
                <w:color w:val="auto"/>
                <w:sz w:val="24"/>
                <w:szCs w:val="24"/>
              </w:rPr>
              <w:t>总量控制指标</w:t>
            </w:r>
          </w:p>
        </w:tc>
        <w:tc>
          <w:tcPr>
            <w:tcW w:w="7980" w:type="dxa"/>
            <w:vAlign w:val="center"/>
          </w:tcPr>
          <w:p>
            <w:pPr>
              <w:spacing w:line="360" w:lineRule="auto"/>
              <w:ind w:firstLine="539"/>
              <w:rPr>
                <w:color w:val="auto"/>
                <w:sz w:val="24"/>
                <w:szCs w:val="24"/>
              </w:rPr>
            </w:pPr>
            <w:r>
              <w:rPr>
                <w:rFonts w:hint="eastAsia"/>
                <w:color w:val="auto"/>
                <w:sz w:val="24"/>
                <w:szCs w:val="24"/>
              </w:rPr>
              <w:t>该项目是输变电工程，运行期不排放废水、废气，无具体总量控制指标要求。</w:t>
            </w:r>
          </w:p>
        </w:tc>
      </w:tr>
    </w:tbl>
    <w:p>
      <w:pPr>
        <w:pStyle w:val="5"/>
        <w:tabs>
          <w:tab w:val="left" w:pos="840"/>
        </w:tabs>
        <w:jc w:val="both"/>
        <w:rPr>
          <w:b/>
          <w:color w:val="auto"/>
          <w:sz w:val="30"/>
          <w:szCs w:val="30"/>
        </w:rPr>
      </w:pPr>
      <w:r>
        <w:rPr>
          <w:b/>
          <w:color w:val="auto"/>
          <w:sz w:val="30"/>
          <w:szCs w:val="30"/>
        </w:rPr>
        <w:br w:type="page"/>
      </w:r>
      <w:bookmarkStart w:id="23" w:name="_Toc40447923"/>
      <w:r>
        <w:rPr>
          <w:rFonts w:hint="eastAsia"/>
          <w:b/>
          <w:color w:val="auto"/>
          <w:sz w:val="30"/>
          <w:szCs w:val="30"/>
        </w:rPr>
        <w:t>五、工程分析</w:t>
      </w:r>
      <w:bookmarkEnd w:id="18"/>
      <w:bookmarkEnd w:id="23"/>
    </w:p>
    <w:tbl>
      <w:tblPr>
        <w:tblStyle w:val="86"/>
        <w:tblW w:w="889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897" w:type="dxa"/>
          </w:tcPr>
          <w:p>
            <w:pPr>
              <w:rPr>
                <w:rFonts w:eastAsia="楷体_GB2312"/>
                <w:b/>
                <w:bCs/>
                <w:color w:val="auto"/>
                <w:sz w:val="28"/>
                <w:szCs w:val="28"/>
              </w:rPr>
            </w:pPr>
            <w:r>
              <w:rPr>
                <w:rFonts w:eastAsia="楷体_GB2312"/>
                <w:b/>
                <w:bCs/>
                <w:color w:val="auto"/>
                <w:sz w:val="28"/>
                <w:szCs w:val="28"/>
              </w:rPr>
              <w:t>5.1</w:t>
            </w:r>
            <w:r>
              <w:rPr>
                <w:rFonts w:hint="eastAsia" w:eastAsia="楷体_GB2312"/>
                <w:b/>
                <w:bCs/>
                <w:color w:val="auto"/>
                <w:sz w:val="28"/>
                <w:szCs w:val="28"/>
              </w:rPr>
              <w:t>工艺流程简述</w:t>
            </w:r>
          </w:p>
          <w:p>
            <w:pPr>
              <w:adjustRightInd w:val="0"/>
              <w:snapToGrid w:val="0"/>
              <w:spacing w:line="360" w:lineRule="auto"/>
              <w:ind w:firstLine="480" w:firstLineChars="200"/>
              <w:rPr>
                <w:color w:val="auto"/>
                <w:sz w:val="24"/>
                <w:szCs w:val="24"/>
                <w:u w:val="single"/>
              </w:rPr>
            </w:pPr>
            <w:r>
              <w:rPr>
                <w:rFonts w:hint="eastAsia"/>
                <w:color w:val="auto"/>
                <w:sz w:val="24"/>
                <w:szCs w:val="24"/>
                <w:u w:val="single"/>
              </w:rPr>
              <w:t>（</w:t>
            </w:r>
            <w:r>
              <w:rPr>
                <w:color w:val="auto"/>
                <w:sz w:val="24"/>
                <w:szCs w:val="24"/>
                <w:u w:val="single"/>
              </w:rPr>
              <w:t>1</w:t>
            </w:r>
            <w:r>
              <w:rPr>
                <w:rFonts w:hint="eastAsia"/>
                <w:color w:val="auto"/>
                <w:sz w:val="24"/>
                <w:szCs w:val="24"/>
                <w:u w:val="single"/>
              </w:rPr>
              <w:t>）变电站</w:t>
            </w:r>
          </w:p>
          <w:p>
            <w:pPr>
              <w:adjustRightInd w:val="0"/>
              <w:snapToGrid w:val="0"/>
              <w:spacing w:line="360" w:lineRule="auto"/>
              <w:ind w:firstLine="480" w:firstLineChars="200"/>
              <w:rPr>
                <w:color w:val="auto"/>
                <w:sz w:val="24"/>
                <w:szCs w:val="24"/>
                <w:u w:val="single"/>
              </w:rPr>
            </w:pPr>
            <w:r>
              <w:rPr>
                <w:rFonts w:hint="eastAsia"/>
                <w:color w:val="auto"/>
                <w:sz w:val="24"/>
                <w:szCs w:val="24"/>
                <w:u w:val="single"/>
              </w:rPr>
              <w:t>在运行期，变电站工程的作用为变电。在变电站内通过变压器将电能调变至一定电压等级，然后通过导线输送至其他变电站或用户。变电和送电过程中，只存在电压的变化和电流的传输现象，没有其他生产活动存在，整个过程中无原材料、中间产品、副产品、产品存在，也不存在产品的生产过程。</w:t>
            </w:r>
          </w:p>
          <w:p>
            <w:pPr>
              <w:adjustRightInd w:val="0"/>
              <w:snapToGrid w:val="0"/>
              <w:spacing w:line="360" w:lineRule="auto"/>
              <w:ind w:firstLine="480" w:firstLineChars="200"/>
              <w:rPr>
                <w:color w:val="auto"/>
                <w:sz w:val="24"/>
                <w:szCs w:val="24"/>
                <w:u w:val="single"/>
              </w:rPr>
            </w:pPr>
            <w:r>
              <w:rPr>
                <w:rFonts w:hint="eastAsia"/>
                <w:color w:val="auto"/>
                <w:sz w:val="24"/>
                <w:szCs w:val="24"/>
                <w:u w:val="single"/>
              </w:rPr>
              <w:t>输电线路是从电厂向消费电能地区输送大量电能的主要渠道或不同电力网之间互送大量电力的联网渠道，是电力系统组成网络的必要部分。工程采用的频率为</w:t>
            </w:r>
            <w:r>
              <w:rPr>
                <w:color w:val="auto"/>
                <w:sz w:val="24"/>
                <w:szCs w:val="24"/>
                <w:u w:val="single"/>
              </w:rPr>
              <w:t>50Hz</w:t>
            </w:r>
            <w:r>
              <w:rPr>
                <w:rFonts w:hint="eastAsia"/>
                <w:color w:val="auto"/>
                <w:sz w:val="24"/>
                <w:szCs w:val="24"/>
                <w:u w:val="single"/>
              </w:rPr>
              <w:t>、相电压为</w:t>
            </w:r>
            <w:r>
              <w:rPr>
                <w:color w:val="auto"/>
                <w:sz w:val="24"/>
                <w:szCs w:val="24"/>
                <w:u w:val="single"/>
              </w:rPr>
              <w:t>110kV</w:t>
            </w:r>
            <w:r>
              <w:rPr>
                <w:rFonts w:hint="eastAsia"/>
                <w:color w:val="auto"/>
                <w:sz w:val="24"/>
                <w:szCs w:val="24"/>
                <w:u w:val="single"/>
              </w:rPr>
              <w:t>、相位差为</w:t>
            </w:r>
            <w:r>
              <w:rPr>
                <w:color w:val="auto"/>
                <w:sz w:val="24"/>
                <w:szCs w:val="24"/>
                <w:u w:val="single"/>
              </w:rPr>
              <w:t>120°</w:t>
            </w:r>
            <w:r>
              <w:rPr>
                <w:rFonts w:hint="eastAsia"/>
                <w:color w:val="auto"/>
                <w:sz w:val="24"/>
                <w:szCs w:val="24"/>
                <w:u w:val="single"/>
              </w:rPr>
              <w:t>的三相交流架空输电方式。三相交流电是由三个频率相同、电势振幅相等、具有一定相位差的交流电路组成的电力系统。输电线路一般由绝缘子、杆塔、架空线以及金具等组成。</w:t>
            </w:r>
          </w:p>
          <w:p>
            <w:pPr>
              <w:adjustRightInd w:val="0"/>
              <w:snapToGrid w:val="0"/>
              <w:spacing w:line="360" w:lineRule="auto"/>
              <w:ind w:firstLine="480" w:firstLineChars="200"/>
              <w:rPr>
                <w:color w:val="auto"/>
                <w:sz w:val="24"/>
                <w:szCs w:val="24"/>
                <w:u w:val="single"/>
              </w:rPr>
            </w:pPr>
            <w:r>
              <w:rPr>
                <w:rFonts w:hint="eastAsia"/>
                <w:color w:val="auto"/>
                <w:sz w:val="24"/>
                <w:szCs w:val="24"/>
                <w:u w:val="single"/>
              </w:rPr>
              <w:t>架空线是架空敷设的用以输送电力的导线和用以防雷的架空地线的统称，架空线具有低电阻、高强度的特性，可以减少运行时的电能损耗和承受线路上动态和静态的机械荷载。</w:t>
            </w:r>
          </w:p>
          <w:p>
            <w:pPr>
              <w:adjustRightInd w:val="0"/>
              <w:snapToGrid w:val="0"/>
              <w:spacing w:line="360" w:lineRule="auto"/>
              <w:ind w:firstLine="480" w:firstLineChars="200"/>
              <w:jc w:val="left"/>
              <w:rPr>
                <w:color w:val="auto"/>
                <w:sz w:val="24"/>
                <w:szCs w:val="24"/>
                <w:u w:val="single"/>
              </w:rPr>
            </w:pPr>
            <w:r>
              <w:rPr>
                <w:rFonts w:hint="eastAsia"/>
                <w:color w:val="auto"/>
                <w:sz w:val="24"/>
                <w:szCs w:val="24"/>
                <w:u w:val="single"/>
              </w:rPr>
              <w:t>电荷或者带电导体周围存在电场，有规则运动的电荷或者流过电流的导体周围存在着磁场，因此，输变电工程在运行期由于电能的存在将产生工频电场、工频磁感应强度以及电磁性噪声。工艺流程见</w:t>
            </w:r>
            <w:r>
              <w:rPr>
                <w:color w:val="auto"/>
              </w:rPr>
              <w:fldChar w:fldCharType="begin"/>
            </w:r>
            <w:r>
              <w:rPr>
                <w:color w:val="auto"/>
              </w:rPr>
              <w:instrText xml:space="preserve"> REF _Ref2361466 \h  \* MERGEFORMAT </w:instrText>
            </w:r>
            <w:r>
              <w:rPr>
                <w:color w:val="auto"/>
              </w:rPr>
              <w:fldChar w:fldCharType="separate"/>
            </w:r>
            <w:r>
              <w:rPr>
                <w:rFonts w:hint="eastAsia" w:eastAsiaTheme="minorEastAsia"/>
                <w:color w:val="auto"/>
                <w:sz w:val="24"/>
                <w:szCs w:val="24"/>
                <w:u w:val="single"/>
              </w:rPr>
              <w:t>图</w:t>
            </w:r>
            <w:r>
              <w:rPr>
                <w:rFonts w:hint="eastAsia" w:eastAsiaTheme="minorEastAsia"/>
                <w:color w:val="auto"/>
                <w:sz w:val="24"/>
                <w:szCs w:val="24"/>
                <w:u w:val="single"/>
              </w:rPr>
              <w:fldChar w:fldCharType="end"/>
            </w:r>
            <w:r>
              <w:rPr>
                <w:rFonts w:hint="eastAsia"/>
                <w:color w:val="auto"/>
                <w:sz w:val="24"/>
                <w:szCs w:val="24"/>
                <w:u w:val="single"/>
              </w:rPr>
              <w:t>。</w:t>
            </w:r>
          </w:p>
          <w:p>
            <w:pPr>
              <w:tabs>
                <w:tab w:val="left" w:pos="1620"/>
              </w:tabs>
              <w:adjustRightInd w:val="0"/>
              <w:snapToGrid w:val="0"/>
              <w:spacing w:line="360" w:lineRule="auto"/>
              <w:ind w:left="480" w:hanging="480" w:hangingChars="200"/>
              <w:jc w:val="center"/>
              <w:rPr>
                <w:color w:val="auto"/>
                <w:sz w:val="24"/>
                <w:szCs w:val="24"/>
                <w:u w:val="single"/>
              </w:rPr>
            </w:pPr>
            <w:r>
              <w:rPr>
                <w:color w:val="auto"/>
                <w:sz w:val="24"/>
                <w:szCs w:val="24"/>
                <w:u w:val="single"/>
              </w:rPr>
              <w:drawing>
                <wp:inline distT="0" distB="0" distL="0" distR="0">
                  <wp:extent cx="5320665" cy="1981835"/>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cstate="screen"/>
                          <a:stretch>
                            <a:fillRect/>
                          </a:stretch>
                        </pic:blipFill>
                        <pic:spPr>
                          <a:xfrm>
                            <a:off x="0" y="0"/>
                            <a:ext cx="5321046" cy="1982419"/>
                          </a:xfrm>
                          <a:prstGeom prst="rect">
                            <a:avLst/>
                          </a:prstGeom>
                        </pic:spPr>
                      </pic:pic>
                    </a:graphicData>
                  </a:graphic>
                </wp:inline>
              </w:drawing>
            </w:r>
          </w:p>
          <w:p>
            <w:pPr>
              <w:adjustRightInd w:val="0"/>
              <w:snapToGrid w:val="0"/>
              <w:spacing w:beforeLines="50" w:line="360" w:lineRule="auto"/>
              <w:jc w:val="center"/>
              <w:outlineLvl w:val="1"/>
              <w:rPr>
                <w:rFonts w:eastAsiaTheme="minorEastAsia"/>
                <w:b/>
                <w:color w:val="auto"/>
                <w:szCs w:val="21"/>
                <w:u w:val="single"/>
              </w:rPr>
            </w:pPr>
            <w:bookmarkStart w:id="24" w:name="_Ref2361466"/>
            <w:bookmarkStart w:id="25" w:name="_Ref332878882"/>
            <w:r>
              <w:rPr>
                <w:rFonts w:hint="eastAsia" w:eastAsiaTheme="minorEastAsia"/>
                <w:b/>
                <w:color w:val="auto"/>
                <w:szCs w:val="21"/>
                <w:u w:val="single"/>
              </w:rPr>
              <w:t>图</w:t>
            </w:r>
            <w:bookmarkEnd w:id="24"/>
            <w:r>
              <w:rPr>
                <w:rFonts w:eastAsiaTheme="minorEastAsia"/>
                <w:b/>
                <w:color w:val="auto"/>
                <w:szCs w:val="21"/>
                <w:u w:val="single"/>
              </w:rPr>
              <w:t xml:space="preserve">5-1 </w:t>
            </w:r>
            <w:r>
              <w:rPr>
                <w:rFonts w:hint="eastAsia" w:eastAsiaTheme="minorEastAsia"/>
                <w:b/>
                <w:color w:val="auto"/>
                <w:szCs w:val="21"/>
                <w:u w:val="single"/>
              </w:rPr>
              <w:t>输变电工程工艺流程图</w:t>
            </w:r>
            <w:bookmarkEnd w:id="25"/>
          </w:p>
          <w:p>
            <w:pPr>
              <w:autoSpaceDE w:val="0"/>
              <w:autoSpaceDN w:val="0"/>
              <w:adjustRightInd w:val="0"/>
              <w:spacing w:line="360" w:lineRule="auto"/>
              <w:ind w:firstLine="600" w:firstLineChars="250"/>
              <w:jc w:val="left"/>
              <w:rPr>
                <w:bCs/>
                <w:iCs/>
                <w:color w:val="auto"/>
                <w:sz w:val="24"/>
                <w:u w:val="single"/>
              </w:rPr>
            </w:pPr>
            <w:r>
              <w:rPr>
                <w:rFonts w:hint="eastAsia"/>
                <w:bCs/>
                <w:iCs/>
                <w:color w:val="auto"/>
                <w:sz w:val="24"/>
                <w:u w:val="single"/>
              </w:rPr>
              <w:t>（</w:t>
            </w:r>
            <w:r>
              <w:rPr>
                <w:bCs/>
                <w:iCs/>
                <w:color w:val="auto"/>
                <w:sz w:val="24"/>
                <w:u w:val="single"/>
              </w:rPr>
              <w:t>2</w:t>
            </w:r>
            <w:r>
              <w:rPr>
                <w:rFonts w:hint="eastAsia"/>
                <w:bCs/>
                <w:iCs/>
                <w:color w:val="auto"/>
                <w:sz w:val="24"/>
                <w:u w:val="single"/>
              </w:rPr>
              <w:t>）储能系统</w:t>
            </w:r>
          </w:p>
          <w:p>
            <w:pPr>
              <w:autoSpaceDE w:val="0"/>
              <w:autoSpaceDN w:val="0"/>
              <w:adjustRightInd w:val="0"/>
              <w:spacing w:line="360" w:lineRule="auto"/>
              <w:ind w:firstLine="600" w:firstLineChars="250"/>
              <w:rPr>
                <w:bCs/>
                <w:iCs/>
                <w:color w:val="auto"/>
                <w:sz w:val="24"/>
                <w:u w:val="single"/>
              </w:rPr>
            </w:pPr>
            <w:r>
              <w:rPr>
                <w:rFonts w:hint="eastAsia"/>
                <w:bCs/>
                <w:iCs/>
                <w:color w:val="auto"/>
                <w:sz w:val="24"/>
                <w:u w:val="single"/>
              </w:rPr>
              <w:t>①储能站主要工作原理</w:t>
            </w:r>
          </w:p>
          <w:p>
            <w:pPr>
              <w:autoSpaceDE w:val="0"/>
              <w:autoSpaceDN w:val="0"/>
              <w:adjustRightInd w:val="0"/>
              <w:spacing w:line="360" w:lineRule="auto"/>
              <w:ind w:firstLine="600" w:firstLineChars="250"/>
              <w:rPr>
                <w:bCs/>
                <w:iCs/>
                <w:color w:val="auto"/>
                <w:sz w:val="24"/>
                <w:u w:val="single"/>
              </w:rPr>
            </w:pPr>
            <w:r>
              <w:rPr>
                <w:rFonts w:hint="eastAsia"/>
                <w:bCs/>
                <w:iCs/>
                <w:color w:val="auto"/>
                <w:sz w:val="24"/>
                <w:u w:val="single"/>
              </w:rPr>
              <w:t>电池储能站由储能设备、电气设备、控制保护设备、通风空调设备、消防设备等组成。储能系统的关键部件主要包括储能载体电池系统、功率变换系统（</w:t>
            </w:r>
            <w:r>
              <w:rPr>
                <w:bCs/>
                <w:iCs/>
                <w:color w:val="auto"/>
                <w:sz w:val="24"/>
                <w:u w:val="single"/>
              </w:rPr>
              <w:t>PCS)</w:t>
            </w:r>
            <w:r>
              <w:rPr>
                <w:rFonts w:hint="eastAsia"/>
                <w:bCs/>
                <w:iCs/>
                <w:color w:val="auto"/>
                <w:sz w:val="24"/>
                <w:u w:val="single"/>
              </w:rPr>
              <w:t>、电池管理系统（</w:t>
            </w:r>
            <w:r>
              <w:rPr>
                <w:bCs/>
                <w:iCs/>
                <w:color w:val="auto"/>
                <w:sz w:val="24"/>
                <w:u w:val="single"/>
              </w:rPr>
              <w:t>BMS)</w:t>
            </w:r>
            <w:r>
              <w:rPr>
                <w:rFonts w:hint="eastAsia"/>
                <w:bCs/>
                <w:iCs/>
                <w:color w:val="auto"/>
                <w:sz w:val="24"/>
                <w:u w:val="single"/>
              </w:rPr>
              <w:t>、能量管理系统（</w:t>
            </w:r>
            <w:r>
              <w:rPr>
                <w:bCs/>
                <w:iCs/>
                <w:color w:val="auto"/>
                <w:sz w:val="24"/>
                <w:u w:val="single"/>
              </w:rPr>
              <w:t>EMS</w:t>
            </w:r>
            <w:r>
              <w:rPr>
                <w:rFonts w:hint="eastAsia"/>
                <w:bCs/>
                <w:iCs/>
                <w:color w:val="auto"/>
                <w:sz w:val="24"/>
                <w:u w:val="single"/>
              </w:rPr>
              <w:t>）四部分。储能载体电池系统是核心部件，用来储存电力。功率变换系统</w:t>
            </w:r>
            <w:r>
              <w:rPr>
                <w:bCs/>
                <w:iCs/>
                <w:color w:val="auto"/>
                <w:sz w:val="24"/>
                <w:u w:val="single"/>
              </w:rPr>
              <w:t>(PCS)</w:t>
            </w:r>
            <w:r>
              <w:rPr>
                <w:rFonts w:hint="eastAsia"/>
                <w:bCs/>
                <w:iCs/>
                <w:color w:val="auto"/>
                <w:sz w:val="24"/>
                <w:u w:val="single"/>
              </w:rPr>
              <w:t>是与储能电池组配套，连接于电池与电网之间的实现电能双向转换的装置。电池管理系统</w:t>
            </w:r>
            <w:r>
              <w:rPr>
                <w:bCs/>
                <w:iCs/>
                <w:color w:val="auto"/>
                <w:sz w:val="24"/>
                <w:u w:val="single"/>
              </w:rPr>
              <w:t>(Battery Management System, BMS)</w:t>
            </w:r>
            <w:r>
              <w:rPr>
                <w:rFonts w:hint="eastAsia"/>
                <w:bCs/>
                <w:iCs/>
                <w:color w:val="auto"/>
                <w:sz w:val="24"/>
                <w:u w:val="single"/>
              </w:rPr>
              <w:t>是电池储能系统的核心子系统之一，负责监控电池储能单元内各电池的运行状态，保障储能单元安全可靠运行。</w:t>
            </w:r>
          </w:p>
          <w:p>
            <w:pPr>
              <w:autoSpaceDE w:val="0"/>
              <w:autoSpaceDN w:val="0"/>
              <w:adjustRightInd w:val="0"/>
              <w:spacing w:line="360" w:lineRule="auto"/>
              <w:ind w:firstLine="480" w:firstLineChars="200"/>
              <w:rPr>
                <w:bCs/>
                <w:iCs/>
                <w:color w:val="auto"/>
                <w:sz w:val="24"/>
                <w:u w:val="single"/>
              </w:rPr>
            </w:pPr>
            <w:r>
              <w:rPr>
                <w:rFonts w:hint="eastAsia"/>
                <w:bCs/>
                <w:iCs/>
                <w:color w:val="auto"/>
                <w:sz w:val="24"/>
                <w:u w:val="single"/>
              </w:rPr>
              <w:t>电池系统是储能系统的最主要设备，选择单体容量大的电池类型，可以减少单体电池的串并联数量，减少电池组因串并联所产生的能耗损失；同时选择具有主动平衡方式的</w:t>
            </w:r>
            <w:r>
              <w:rPr>
                <w:bCs/>
                <w:iCs/>
                <w:color w:val="auto"/>
                <w:sz w:val="24"/>
                <w:u w:val="single"/>
              </w:rPr>
              <w:t xml:space="preserve">BMS </w:t>
            </w:r>
            <w:r>
              <w:rPr>
                <w:rFonts w:hint="eastAsia"/>
                <w:bCs/>
                <w:iCs/>
                <w:color w:val="auto"/>
                <w:sz w:val="24"/>
                <w:u w:val="single"/>
              </w:rPr>
              <w:t>设备，可以提升电池管理效率，提高直流侧系统效率，减少电池组因串并联所产生的能耗损失。根据《电力储能用锂离子电池》</w:t>
            </w:r>
            <w:r>
              <w:rPr>
                <w:bCs/>
                <w:iCs/>
                <w:color w:val="auto"/>
                <w:sz w:val="24"/>
                <w:u w:val="single"/>
              </w:rPr>
              <w:t>(GB/T 36276-2018)</w:t>
            </w:r>
            <w:r>
              <w:rPr>
                <w:rFonts w:hint="eastAsia"/>
                <w:bCs/>
                <w:iCs/>
                <w:color w:val="auto"/>
                <w:sz w:val="24"/>
                <w:u w:val="single"/>
              </w:rPr>
              <w:t>及目前国内主流厂家制造水平，本阶段选定的电池模块倍率充放电性能在</w:t>
            </w:r>
            <w:r>
              <w:rPr>
                <w:bCs/>
                <w:iCs/>
                <w:color w:val="auto"/>
                <w:sz w:val="24"/>
                <w:u w:val="single"/>
              </w:rPr>
              <w:t>Prcn</w:t>
            </w:r>
            <w:r>
              <w:rPr>
                <w:rFonts w:hint="eastAsia"/>
                <w:bCs/>
                <w:iCs/>
                <w:color w:val="auto"/>
                <w:sz w:val="24"/>
                <w:u w:val="single"/>
              </w:rPr>
              <w:t>、</w:t>
            </w:r>
            <w:r>
              <w:rPr>
                <w:bCs/>
                <w:iCs/>
                <w:color w:val="auto"/>
                <w:sz w:val="24"/>
                <w:u w:val="single"/>
              </w:rPr>
              <w:t xml:space="preserve">Prdn' </w:t>
            </w:r>
            <w:r>
              <w:rPr>
                <w:rFonts w:hint="eastAsia"/>
                <w:bCs/>
                <w:iCs/>
                <w:color w:val="auto"/>
                <w:sz w:val="24"/>
                <w:u w:val="single"/>
              </w:rPr>
              <w:t>条件下能量效率不低于</w:t>
            </w:r>
            <w:r>
              <w:rPr>
                <w:bCs/>
                <w:iCs/>
                <w:color w:val="auto"/>
                <w:sz w:val="24"/>
                <w:u w:val="single"/>
              </w:rPr>
              <w:t>93%</w:t>
            </w:r>
            <w:r>
              <w:rPr>
                <w:rFonts w:hint="eastAsia"/>
                <w:bCs/>
                <w:iCs/>
                <w:color w:val="auto"/>
                <w:sz w:val="24"/>
                <w:u w:val="single"/>
              </w:rPr>
              <w:t>。</w:t>
            </w:r>
          </w:p>
          <w:p>
            <w:pPr>
              <w:autoSpaceDE w:val="0"/>
              <w:autoSpaceDN w:val="0"/>
              <w:adjustRightInd w:val="0"/>
              <w:spacing w:line="360" w:lineRule="auto"/>
              <w:ind w:firstLine="480" w:firstLineChars="200"/>
              <w:rPr>
                <w:bCs/>
                <w:iCs/>
                <w:color w:val="auto"/>
                <w:sz w:val="24"/>
                <w:u w:val="single"/>
              </w:rPr>
            </w:pPr>
            <w:r>
              <w:rPr>
                <w:bCs/>
                <w:iCs/>
                <w:color w:val="auto"/>
                <w:sz w:val="24"/>
                <w:u w:val="single"/>
              </w:rPr>
              <w:t xml:space="preserve">PCS </w:t>
            </w:r>
            <w:r>
              <w:rPr>
                <w:rFonts w:hint="eastAsia"/>
                <w:bCs/>
                <w:iCs/>
                <w:color w:val="auto"/>
                <w:sz w:val="24"/>
                <w:u w:val="single"/>
              </w:rPr>
              <w:t>设备也是储能系统中的重要设备，</w:t>
            </w:r>
            <w:r>
              <w:rPr>
                <w:bCs/>
                <w:iCs/>
                <w:color w:val="auto"/>
                <w:sz w:val="24"/>
                <w:u w:val="single"/>
              </w:rPr>
              <w:t xml:space="preserve">PCS </w:t>
            </w:r>
            <w:r>
              <w:rPr>
                <w:rFonts w:hint="eastAsia"/>
                <w:bCs/>
                <w:iCs/>
                <w:color w:val="auto"/>
                <w:sz w:val="24"/>
                <w:u w:val="single"/>
              </w:rPr>
              <w:t>选型中容量应按照储能系统多种运行工况的最大容量进行选择，拓扑结构应尽量减少并联，减少</w:t>
            </w:r>
            <w:r>
              <w:rPr>
                <w:bCs/>
                <w:iCs/>
                <w:color w:val="auto"/>
                <w:sz w:val="24"/>
                <w:u w:val="single"/>
              </w:rPr>
              <w:t xml:space="preserve">PCS </w:t>
            </w:r>
            <w:r>
              <w:rPr>
                <w:rFonts w:hint="eastAsia"/>
                <w:bCs/>
                <w:iCs/>
                <w:color w:val="auto"/>
                <w:sz w:val="24"/>
                <w:u w:val="single"/>
              </w:rPr>
              <w:t>设备因交直流转换过程中损失的效率。本阶段选定的双向储能变流器</w:t>
            </w:r>
            <w:r>
              <w:rPr>
                <w:bCs/>
                <w:iCs/>
                <w:color w:val="auto"/>
                <w:sz w:val="24"/>
                <w:u w:val="single"/>
              </w:rPr>
              <w:t>(PCS)</w:t>
            </w:r>
            <w:r>
              <w:rPr>
                <w:rFonts w:hint="eastAsia"/>
                <w:bCs/>
                <w:iCs/>
                <w:color w:val="auto"/>
                <w:sz w:val="24"/>
                <w:u w:val="single"/>
              </w:rPr>
              <w:t>系统最大转换效率不低于</w:t>
            </w:r>
            <w:r>
              <w:rPr>
                <w:bCs/>
                <w:iCs/>
                <w:color w:val="auto"/>
                <w:sz w:val="24"/>
                <w:u w:val="single"/>
              </w:rPr>
              <w:t>98%</w:t>
            </w:r>
            <w:r>
              <w:rPr>
                <w:rFonts w:hint="eastAsia"/>
                <w:bCs/>
                <w:iCs/>
                <w:color w:val="auto"/>
                <w:sz w:val="24"/>
                <w:u w:val="single"/>
              </w:rPr>
              <w:t>。</w:t>
            </w:r>
          </w:p>
          <w:p>
            <w:pPr>
              <w:autoSpaceDE w:val="0"/>
              <w:autoSpaceDN w:val="0"/>
              <w:adjustRightInd w:val="0"/>
              <w:spacing w:line="360" w:lineRule="auto"/>
              <w:ind w:firstLine="480" w:firstLineChars="200"/>
              <w:rPr>
                <w:bCs/>
                <w:iCs/>
                <w:color w:val="auto"/>
                <w:sz w:val="24"/>
                <w:u w:val="single"/>
              </w:rPr>
            </w:pPr>
            <w:r>
              <w:rPr>
                <w:rFonts w:hint="eastAsia"/>
                <w:bCs/>
                <w:iCs/>
                <w:color w:val="auto"/>
                <w:sz w:val="24"/>
                <w:u w:val="single"/>
              </w:rPr>
              <w:t>②电池选型及安全性</w:t>
            </w:r>
          </w:p>
          <w:p>
            <w:pPr>
              <w:autoSpaceDE w:val="0"/>
              <w:autoSpaceDN w:val="0"/>
              <w:adjustRightInd w:val="0"/>
              <w:spacing w:line="360" w:lineRule="auto"/>
              <w:ind w:firstLine="480" w:firstLineChars="200"/>
              <w:jc w:val="left"/>
              <w:rPr>
                <w:bCs/>
                <w:iCs/>
                <w:color w:val="auto"/>
                <w:sz w:val="24"/>
                <w:u w:val="single"/>
              </w:rPr>
            </w:pPr>
            <w:r>
              <w:rPr>
                <w:rFonts w:hint="eastAsia"/>
                <w:bCs/>
                <w:iCs/>
                <w:color w:val="auto"/>
                <w:sz w:val="24"/>
                <w:u w:val="single"/>
              </w:rPr>
              <w:t>根据国内外储能系统应用现状和电池特点，工可推荐磷酸铁锂电池，磷酸铁锂电池全名是磷酸铁锂锂离子电池，简称为磷酸铁锂电池。磷酸铁锂电化学储能站工作原理：在用电低谷期，把富余的电能储存起来，在用电高峰期间，再将储存的电能输送使用，可起到平稳变电站负荷曲线等作用。具体工作原理和组成如下：</w:t>
            </w:r>
          </w:p>
          <w:p>
            <w:pPr>
              <w:autoSpaceDE w:val="0"/>
              <w:autoSpaceDN w:val="0"/>
              <w:adjustRightInd w:val="0"/>
              <w:spacing w:line="360" w:lineRule="auto"/>
              <w:ind w:firstLine="600" w:firstLineChars="250"/>
              <w:rPr>
                <w:bCs/>
                <w:iCs/>
                <w:color w:val="auto"/>
                <w:sz w:val="24"/>
                <w:u w:val="single"/>
              </w:rPr>
            </w:pPr>
            <w:r>
              <w:rPr>
                <w:rFonts w:hint="eastAsia"/>
                <w:bCs/>
                <w:iCs/>
                <w:color w:val="auto"/>
                <w:sz w:val="24"/>
                <w:u w:val="single"/>
              </w:rPr>
              <w:t>磷酸铁锂电化学储能站由磷酸铁锂储能电池、储能变流器（</w:t>
            </w:r>
            <w:r>
              <w:rPr>
                <w:bCs/>
                <w:iCs/>
                <w:color w:val="auto"/>
                <w:sz w:val="24"/>
                <w:u w:val="single"/>
              </w:rPr>
              <w:t>PCS</w:t>
            </w:r>
            <w:r>
              <w:rPr>
                <w:rFonts w:hint="eastAsia"/>
                <w:bCs/>
                <w:iCs/>
                <w:color w:val="auto"/>
                <w:sz w:val="24"/>
                <w:u w:val="single"/>
              </w:rPr>
              <w:t>）、电池管理系统（</w:t>
            </w:r>
            <w:r>
              <w:rPr>
                <w:bCs/>
                <w:iCs/>
                <w:color w:val="auto"/>
                <w:sz w:val="24"/>
                <w:u w:val="single"/>
              </w:rPr>
              <w:t>BMS</w:t>
            </w:r>
            <w:r>
              <w:rPr>
                <w:rFonts w:hint="eastAsia"/>
                <w:bCs/>
                <w:iCs/>
                <w:color w:val="auto"/>
                <w:sz w:val="24"/>
                <w:u w:val="single"/>
              </w:rPr>
              <w:t>）、协调控制系统（</w:t>
            </w:r>
            <w:r>
              <w:rPr>
                <w:bCs/>
                <w:iCs/>
                <w:color w:val="auto"/>
                <w:sz w:val="24"/>
                <w:u w:val="single"/>
              </w:rPr>
              <w:t>PMS</w:t>
            </w:r>
            <w:r>
              <w:rPr>
                <w:rFonts w:hint="eastAsia"/>
                <w:bCs/>
                <w:iCs/>
                <w:color w:val="auto"/>
                <w:sz w:val="24"/>
                <w:u w:val="single"/>
              </w:rPr>
              <w:t>）、能量管理系统（</w:t>
            </w:r>
            <w:r>
              <w:rPr>
                <w:bCs/>
                <w:iCs/>
                <w:color w:val="auto"/>
                <w:sz w:val="24"/>
                <w:u w:val="single"/>
              </w:rPr>
              <w:t>EMS</w:t>
            </w:r>
            <w:r>
              <w:rPr>
                <w:rFonts w:hint="eastAsia"/>
                <w:bCs/>
                <w:iCs/>
                <w:color w:val="auto"/>
                <w:sz w:val="24"/>
                <w:u w:val="single"/>
              </w:rPr>
              <w:t>）、汇流变流器、升压（主）变压器、高压配电装置等组成。充电期间，系统将电能通过主变压器、回流变压器和储能变流器（</w:t>
            </w:r>
            <w:r>
              <w:rPr>
                <w:bCs/>
                <w:iCs/>
                <w:color w:val="auto"/>
                <w:sz w:val="24"/>
                <w:u w:val="single"/>
              </w:rPr>
              <w:t>PCS</w:t>
            </w:r>
            <w:r>
              <w:rPr>
                <w:rFonts w:hint="eastAsia"/>
                <w:bCs/>
                <w:iCs/>
                <w:color w:val="auto"/>
                <w:sz w:val="24"/>
                <w:u w:val="single"/>
              </w:rPr>
              <w:t>）将交流电转化为直流电，通过储能电池的充电过程，将电能储存在电解液内。放电期间，通过储能电池的放电过程，将直流电经过储能变流器（</w:t>
            </w:r>
            <w:r>
              <w:rPr>
                <w:bCs/>
                <w:iCs/>
                <w:color w:val="auto"/>
                <w:sz w:val="24"/>
                <w:u w:val="single"/>
              </w:rPr>
              <w:t>PCS</w:t>
            </w:r>
            <w:r>
              <w:rPr>
                <w:rFonts w:hint="eastAsia"/>
                <w:bCs/>
                <w:iCs/>
                <w:color w:val="auto"/>
                <w:sz w:val="24"/>
                <w:u w:val="single"/>
              </w:rPr>
              <w:t>）转化为交流电，在经过汇流变压器、主变压器通过高压配电装置将电能输送到电网。</w:t>
            </w:r>
          </w:p>
          <w:p>
            <w:pPr>
              <w:autoSpaceDE w:val="0"/>
              <w:autoSpaceDN w:val="0"/>
              <w:adjustRightInd w:val="0"/>
              <w:spacing w:line="360" w:lineRule="auto"/>
              <w:ind w:firstLine="600" w:firstLineChars="250"/>
              <w:rPr>
                <w:bCs/>
                <w:iCs/>
                <w:color w:val="auto"/>
                <w:sz w:val="24"/>
                <w:u w:val="single"/>
              </w:rPr>
            </w:pPr>
            <w:r>
              <w:rPr>
                <w:rFonts w:hint="eastAsia"/>
                <w:bCs/>
                <w:iCs/>
                <w:color w:val="auto"/>
                <w:sz w:val="24"/>
                <w:u w:val="single"/>
              </w:rPr>
              <w:t>磷酸铁锂晶体中的</w:t>
            </w:r>
            <w:r>
              <w:rPr>
                <w:bCs/>
                <w:iCs/>
                <w:color w:val="auto"/>
                <w:sz w:val="24"/>
                <w:u w:val="single"/>
              </w:rPr>
              <w:t>P-O</w:t>
            </w:r>
            <w:r>
              <w:rPr>
                <w:rFonts w:hint="eastAsia"/>
                <w:bCs/>
                <w:iCs/>
                <w:color w:val="auto"/>
                <w:sz w:val="24"/>
                <w:u w:val="single"/>
              </w:rPr>
              <w:t>键稳固，难以分解，即便在高温或过充时也不会出现结构崩塌发热或是形成强氧化性物质，因此拥有良好的安全性；磷酸铁锂为橄榄石结构，材料热稳定性高，不会形成尖锐的结晶，刺穿隔膜，导致内部短路；采用高安全性的六氟磷酸锂电解质，添加了阻燃添加剂和防爆添加剂，不会出现由于电解液而导致的安全故障。因此磷酸铁锂不出现燃烧、爆炸等危害。</w:t>
            </w:r>
          </w:p>
          <w:p>
            <w:pPr>
              <w:autoSpaceDE w:val="0"/>
              <w:autoSpaceDN w:val="0"/>
              <w:adjustRightInd w:val="0"/>
              <w:spacing w:line="360" w:lineRule="auto"/>
              <w:ind w:firstLine="480" w:firstLineChars="200"/>
              <w:rPr>
                <w:bCs/>
                <w:iCs/>
                <w:color w:val="auto"/>
                <w:sz w:val="24"/>
                <w:u w:val="single"/>
              </w:rPr>
            </w:pPr>
            <w:r>
              <w:rPr>
                <w:rFonts w:hint="eastAsia"/>
                <w:bCs/>
                <w:iCs/>
                <w:color w:val="auto"/>
                <w:sz w:val="24"/>
                <w:u w:val="single"/>
              </w:rPr>
              <w:t>磷酸铁锂具有严格的生产工艺要求及质量检测要求。电池在无尘车间内生产，生产线为全自动产线，对每个工序都进行全程监控并配有追溯系统。质量部门对每批次都需进行抽样检测，而针刺检测是众多测试实验中最为直观验证磷酸铁锂电池安全可靠性实验。将针直接刺入电池壳体，此时电池发生内部短路，而发生内部短路的情况下，磷酸铁锂电池只是冒烟而无明火或爆炸现象。并且，现用于电网的磷酸铁锂储能系统，在电池室均配有消防系统、空调恒温系统等，确保电池在最适宜、最安全的环境中运行。以上种种信息表明，磷酸铁锂电池具有高安全性，是储能应用技术最佳选择。磷酸铁锂电池寿命到期后，由原生产厂家或相关资质的机构进行专业回收利用。</w:t>
            </w:r>
          </w:p>
          <w:p>
            <w:pPr>
              <w:autoSpaceDE w:val="0"/>
              <w:autoSpaceDN w:val="0"/>
              <w:adjustRightInd w:val="0"/>
              <w:spacing w:line="360" w:lineRule="auto"/>
              <w:ind w:firstLine="600" w:firstLineChars="250"/>
              <w:rPr>
                <w:bCs/>
                <w:iCs/>
                <w:color w:val="auto"/>
                <w:sz w:val="24"/>
                <w:u w:val="single"/>
              </w:rPr>
            </w:pPr>
            <w:r>
              <w:rPr>
                <w:rFonts w:hint="eastAsia"/>
                <w:bCs/>
                <w:iCs/>
                <w:color w:val="auto"/>
                <w:sz w:val="24"/>
                <w:u w:val="single"/>
              </w:rPr>
              <w:t>③储能站运行模式</w:t>
            </w:r>
          </w:p>
          <w:p>
            <w:pPr>
              <w:autoSpaceDE w:val="0"/>
              <w:autoSpaceDN w:val="0"/>
              <w:adjustRightInd w:val="0"/>
              <w:spacing w:line="360" w:lineRule="auto"/>
              <w:ind w:firstLine="600" w:firstLineChars="250"/>
              <w:rPr>
                <w:bCs/>
                <w:iCs/>
                <w:color w:val="auto"/>
                <w:sz w:val="24"/>
                <w:u w:val="single"/>
              </w:rPr>
            </w:pPr>
            <w:r>
              <w:rPr>
                <w:rFonts w:hint="eastAsia"/>
                <w:bCs/>
                <w:iCs/>
                <w:color w:val="auto"/>
                <w:sz w:val="24"/>
                <w:u w:val="single"/>
              </w:rPr>
              <w:t>根据工可报告，储能电站可跟踪所在区域电网负荷曲线运行，负荷低谷时进行充电，负荷高峰时进行放电，结合以往工程经验，可日均一充两放，每次</w:t>
            </w:r>
            <w:r>
              <w:rPr>
                <w:bCs/>
                <w:iCs/>
                <w:color w:val="auto"/>
                <w:sz w:val="24"/>
                <w:u w:val="single"/>
              </w:rPr>
              <w:t>2h</w:t>
            </w:r>
            <w:r>
              <w:rPr>
                <w:rFonts w:hint="eastAsia"/>
                <w:bCs/>
                <w:iCs/>
                <w:color w:val="auto"/>
                <w:sz w:val="24"/>
                <w:u w:val="single"/>
              </w:rPr>
              <w:t>。邵阳电网典型日负荷曲线呈现午高峰和晚高峰，一般晚高峰高于午高峰。春季晚高峰明显高于午高峰，峰谷差率也较大。结合儒林变、赧水变负荷特性曲线及隆回</w:t>
            </w:r>
            <w:r>
              <w:rPr>
                <w:bCs/>
                <w:iCs/>
                <w:color w:val="auto"/>
                <w:sz w:val="24"/>
                <w:u w:val="single"/>
              </w:rPr>
              <w:t>~</w:t>
            </w:r>
            <w:r>
              <w:rPr>
                <w:rFonts w:hint="eastAsia"/>
                <w:bCs/>
                <w:iCs/>
                <w:color w:val="auto"/>
                <w:sz w:val="24"/>
                <w:u w:val="single"/>
              </w:rPr>
              <w:t>长阳铺线路潮流曲线，在丰水期期间储能电站实现单日两次满功率充电较为困难。建议丰水期储能电站每天按“一充一放”或“一充两放”考虑。充电时段为</w:t>
            </w:r>
            <w:r>
              <w:rPr>
                <w:bCs/>
                <w:iCs/>
                <w:color w:val="auto"/>
                <w:sz w:val="24"/>
                <w:u w:val="single"/>
              </w:rPr>
              <w:t>0:00-7:00</w:t>
            </w:r>
            <w:r>
              <w:rPr>
                <w:rFonts w:hint="eastAsia"/>
                <w:bCs/>
                <w:iCs/>
                <w:color w:val="auto"/>
                <w:sz w:val="24"/>
                <w:u w:val="single"/>
              </w:rPr>
              <w:t>，放电时段为</w:t>
            </w:r>
            <w:r>
              <w:rPr>
                <w:bCs/>
                <w:iCs/>
                <w:color w:val="auto"/>
                <w:sz w:val="24"/>
                <w:u w:val="single"/>
              </w:rPr>
              <w:t xml:space="preserve">10:00-12:00 </w:t>
            </w:r>
            <w:r>
              <w:rPr>
                <w:rFonts w:hint="eastAsia"/>
                <w:bCs/>
                <w:iCs/>
                <w:color w:val="auto"/>
                <w:sz w:val="24"/>
                <w:u w:val="single"/>
              </w:rPr>
              <w:t>或</w:t>
            </w:r>
            <w:r>
              <w:rPr>
                <w:bCs/>
                <w:iCs/>
                <w:color w:val="auto"/>
                <w:sz w:val="24"/>
                <w:u w:val="single"/>
              </w:rPr>
              <w:t>19:00-21:00</w:t>
            </w:r>
            <w:r>
              <w:rPr>
                <w:rFonts w:hint="eastAsia"/>
                <w:bCs/>
                <w:iCs/>
                <w:color w:val="auto"/>
                <w:sz w:val="24"/>
                <w:u w:val="single"/>
              </w:rPr>
              <w:t>，具体次数以调度部门依据当日负荷曲线、电网实际需求及相关政策执行。</w:t>
            </w:r>
          </w:p>
          <w:p>
            <w:pPr>
              <w:rPr>
                <w:rFonts w:eastAsia="楷体_GB2312"/>
                <w:b/>
                <w:bCs/>
                <w:color w:val="auto"/>
                <w:sz w:val="28"/>
                <w:szCs w:val="28"/>
              </w:rPr>
            </w:pPr>
            <w:r>
              <w:rPr>
                <w:rFonts w:eastAsia="楷体_GB2312"/>
                <w:b/>
                <w:bCs/>
                <w:color w:val="auto"/>
                <w:sz w:val="28"/>
                <w:szCs w:val="28"/>
              </w:rPr>
              <w:t>5.2</w:t>
            </w:r>
            <w:r>
              <w:rPr>
                <w:rFonts w:hint="eastAsia" w:eastAsia="楷体_GB2312"/>
                <w:b/>
                <w:bCs/>
                <w:color w:val="auto"/>
                <w:sz w:val="28"/>
                <w:szCs w:val="28"/>
              </w:rPr>
              <w:t>主要污染工序</w:t>
            </w:r>
          </w:p>
          <w:p>
            <w:pPr>
              <w:rPr>
                <w:rFonts w:eastAsia="楷体_GB2312"/>
                <w:b/>
                <w:bCs/>
                <w:color w:val="auto"/>
                <w:sz w:val="28"/>
                <w:szCs w:val="28"/>
              </w:rPr>
            </w:pPr>
            <w:r>
              <w:rPr>
                <w:rFonts w:eastAsia="楷体_GB2312"/>
                <w:b/>
                <w:bCs/>
                <w:color w:val="auto"/>
                <w:sz w:val="28"/>
                <w:szCs w:val="28"/>
              </w:rPr>
              <w:t xml:space="preserve">5.2.1  </w:t>
            </w:r>
            <w:r>
              <w:rPr>
                <w:rFonts w:hint="eastAsia" w:eastAsia="楷体_GB2312"/>
                <w:b/>
                <w:bCs/>
                <w:color w:val="auto"/>
                <w:sz w:val="28"/>
                <w:szCs w:val="28"/>
              </w:rPr>
              <w:t>产污环节分析</w:t>
            </w:r>
          </w:p>
          <w:p>
            <w:pPr>
              <w:adjustRightInd w:val="0"/>
              <w:snapToGrid w:val="0"/>
              <w:spacing w:line="360" w:lineRule="auto"/>
              <w:ind w:firstLine="480" w:firstLineChars="200"/>
              <w:rPr>
                <w:color w:val="auto"/>
                <w:sz w:val="24"/>
                <w:szCs w:val="24"/>
              </w:rPr>
            </w:pPr>
            <w:r>
              <w:rPr>
                <w:rFonts w:hint="eastAsia"/>
                <w:color w:val="auto"/>
                <w:sz w:val="24"/>
                <w:szCs w:val="24"/>
              </w:rPr>
              <w:t>储能变电站工程建设期土建施工、设备安装等过程中若不采取有效的防治措施可能产生扬尘、噪声、废污水以及固体废物等影响；运行期只是进行电能电压的转变，其产生的污染影响因子主要为工频电场、工频磁场、电磁性噪声、生活垃圾和事故漏油风险。</w:t>
            </w:r>
          </w:p>
          <w:p>
            <w:pPr>
              <w:adjustRightInd w:val="0"/>
              <w:snapToGrid w:val="0"/>
              <w:spacing w:line="360" w:lineRule="auto"/>
              <w:ind w:firstLine="480" w:firstLineChars="200"/>
              <w:jc w:val="left"/>
              <w:rPr>
                <w:color w:val="auto"/>
                <w:sz w:val="24"/>
                <w:szCs w:val="24"/>
              </w:rPr>
            </w:pPr>
            <w:r>
              <w:rPr>
                <w:rFonts w:hint="eastAsia"/>
                <w:color w:val="auto"/>
                <w:sz w:val="24"/>
                <w:szCs w:val="24"/>
              </w:rPr>
              <w:t>本工程建设期和运行期的产污环节参见</w:t>
            </w:r>
            <w:r>
              <w:rPr>
                <w:rFonts w:hint="eastAsia"/>
                <w:color w:val="auto"/>
              </w:rPr>
              <w:t>图</w:t>
            </w:r>
            <w:r>
              <w:rPr>
                <w:color w:val="auto"/>
              </w:rPr>
              <w:t>5-2</w:t>
            </w:r>
            <w:r>
              <w:rPr>
                <w:rFonts w:hint="eastAsia"/>
                <w:color w:val="auto"/>
                <w:sz w:val="24"/>
                <w:szCs w:val="24"/>
              </w:rPr>
              <w:t>。</w:t>
            </w:r>
          </w:p>
          <w:p>
            <w:pPr>
              <w:keepNext/>
              <w:spacing w:beforeLines="50" w:after="120"/>
              <w:jc w:val="center"/>
              <w:rPr>
                <w:color w:val="auto"/>
                <w:sz w:val="28"/>
                <w:szCs w:val="24"/>
              </w:rPr>
            </w:pPr>
            <w:r>
              <w:rPr>
                <w:color w:val="auto"/>
                <w:sz w:val="28"/>
                <w:szCs w:val="24"/>
              </w:rPr>
              <w:drawing>
                <wp:inline distT="0" distB="0" distL="0" distR="0">
                  <wp:extent cx="3221355" cy="3596640"/>
                  <wp:effectExtent l="0" t="0" r="17145" b="3810"/>
                  <wp:docPr id="5" name="图片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86"/>
                          <pic:cNvPicPr>
                            <a:picLocks noChangeAspect="1"/>
                          </pic:cNvPicPr>
                        </pic:nvPicPr>
                        <pic:blipFill>
                          <a:blip r:embed="rId14" cstate="screen"/>
                          <a:stretch>
                            <a:fillRect/>
                          </a:stretch>
                        </pic:blipFill>
                        <pic:spPr>
                          <a:xfrm>
                            <a:off x="0" y="0"/>
                            <a:ext cx="3227810" cy="3603616"/>
                          </a:xfrm>
                          <a:prstGeom prst="rect">
                            <a:avLst/>
                          </a:prstGeom>
                        </pic:spPr>
                      </pic:pic>
                    </a:graphicData>
                  </a:graphic>
                </wp:inline>
              </w:drawing>
            </w:r>
          </w:p>
          <w:p>
            <w:pPr>
              <w:keepNext/>
              <w:spacing w:beforeLines="50"/>
              <w:jc w:val="center"/>
              <w:rPr>
                <w:color w:val="auto"/>
                <w:sz w:val="28"/>
                <w:szCs w:val="24"/>
              </w:rPr>
            </w:pPr>
          </w:p>
          <w:p>
            <w:pPr>
              <w:keepNext/>
              <w:spacing w:beforeLines="50"/>
              <w:jc w:val="center"/>
              <w:rPr>
                <w:color w:val="auto"/>
                <w:sz w:val="28"/>
                <w:szCs w:val="24"/>
              </w:rPr>
            </w:pPr>
          </w:p>
          <w:p>
            <w:pPr>
              <w:keepNext/>
              <w:spacing w:beforeLines="50"/>
              <w:jc w:val="center"/>
              <w:rPr>
                <w:color w:val="auto"/>
                <w:sz w:val="28"/>
                <w:szCs w:val="24"/>
              </w:rPr>
            </w:pPr>
          </w:p>
          <w:p>
            <w:pPr>
              <w:keepNext/>
              <w:spacing w:beforeLines="50"/>
              <w:jc w:val="center"/>
              <w:rPr>
                <w:color w:val="auto"/>
                <w:sz w:val="28"/>
                <w:szCs w:val="24"/>
              </w:rPr>
            </w:pPr>
          </w:p>
          <w:p>
            <w:pPr>
              <w:keepNext/>
              <w:spacing w:beforeLines="50"/>
              <w:jc w:val="center"/>
              <w:rPr>
                <w:color w:val="auto"/>
                <w:sz w:val="28"/>
                <w:szCs w:val="24"/>
              </w:rPr>
            </w:pPr>
          </w:p>
          <w:p>
            <w:pPr>
              <w:adjustRightInd w:val="0"/>
              <w:snapToGrid w:val="0"/>
              <w:spacing w:line="360" w:lineRule="auto"/>
              <w:jc w:val="center"/>
              <w:outlineLvl w:val="1"/>
              <w:rPr>
                <w:b/>
                <w:color w:val="auto"/>
                <w:sz w:val="24"/>
                <w:szCs w:val="24"/>
              </w:rPr>
            </w:pPr>
            <w:r>
              <w:rPr>
                <w:color w:val="auto"/>
                <w:szCs w:val="24"/>
              </w:rPr>
              <w:object>
                <v:shape id="_x0000_i1025" o:spt="75" type="#_x0000_t75" style="height:196.6pt;width:352.5pt;" o:ole="t" filled="f" o:preferrelative="t" stroked="f" coordsize="21600,21600">
                  <v:path/>
                  <v:fill on="f" focussize="0,0"/>
                  <v:stroke on="f" joinstyle="miter"/>
                  <v:imagedata r:id="rId16" o:title=""/>
                  <o:lock v:ext="edit" aspectratio="f"/>
                  <w10:wrap type="none"/>
                  <w10:anchorlock/>
                </v:shape>
                <o:OLEObject Type="Embed" ProgID="Visio.Drawing.11" ShapeID="_x0000_i1025" DrawAspect="Content" ObjectID="_1468075725" r:id="rId15">
                  <o:LockedField>false</o:LockedField>
                </o:OLEObject>
              </w:object>
            </w:r>
          </w:p>
          <w:p>
            <w:pPr>
              <w:adjustRightInd w:val="0"/>
              <w:snapToGrid w:val="0"/>
              <w:spacing w:line="360" w:lineRule="auto"/>
              <w:jc w:val="center"/>
              <w:outlineLvl w:val="1"/>
              <w:rPr>
                <w:b/>
                <w:color w:val="auto"/>
                <w:sz w:val="24"/>
                <w:szCs w:val="24"/>
              </w:rPr>
            </w:pPr>
            <w:r>
              <w:rPr>
                <w:rFonts w:hint="eastAsia"/>
                <w:b/>
                <w:color w:val="auto"/>
                <w:sz w:val="24"/>
                <w:szCs w:val="24"/>
              </w:rPr>
              <w:t>图</w:t>
            </w:r>
            <w:r>
              <w:rPr>
                <w:b/>
                <w:color w:val="auto"/>
                <w:sz w:val="24"/>
                <w:szCs w:val="24"/>
              </w:rPr>
              <w:t xml:space="preserve">5-2 </w:t>
            </w:r>
            <w:r>
              <w:rPr>
                <w:rFonts w:hint="eastAsia"/>
                <w:b/>
                <w:color w:val="auto"/>
                <w:sz w:val="24"/>
                <w:szCs w:val="24"/>
              </w:rPr>
              <w:t>储能电站及输电线路工程施工期和运行期的产污节点图</w:t>
            </w:r>
          </w:p>
          <w:p>
            <w:pPr>
              <w:rPr>
                <w:rFonts w:eastAsia="楷体_GB2312"/>
                <w:b/>
                <w:bCs/>
                <w:color w:val="auto"/>
                <w:sz w:val="28"/>
                <w:szCs w:val="28"/>
              </w:rPr>
            </w:pPr>
            <w:r>
              <w:rPr>
                <w:rFonts w:eastAsia="楷体_GB2312"/>
                <w:b/>
                <w:bCs/>
                <w:color w:val="auto"/>
                <w:sz w:val="28"/>
                <w:szCs w:val="28"/>
              </w:rPr>
              <w:t xml:space="preserve">5.2.2  </w:t>
            </w:r>
            <w:r>
              <w:rPr>
                <w:rFonts w:hint="eastAsia" w:eastAsia="楷体_GB2312"/>
                <w:b/>
                <w:bCs/>
                <w:color w:val="auto"/>
                <w:sz w:val="28"/>
                <w:szCs w:val="28"/>
              </w:rPr>
              <w:t>污染源分析</w:t>
            </w:r>
          </w:p>
          <w:p>
            <w:pPr>
              <w:spacing w:line="360" w:lineRule="auto"/>
              <w:rPr>
                <w:rFonts w:eastAsia="楷体_GB2312"/>
                <w:b/>
                <w:bCs/>
                <w:color w:val="auto"/>
                <w:sz w:val="24"/>
                <w:szCs w:val="24"/>
              </w:rPr>
            </w:pPr>
            <w:r>
              <w:rPr>
                <w:rFonts w:eastAsia="楷体_GB2312"/>
                <w:b/>
                <w:bCs/>
                <w:color w:val="auto"/>
                <w:sz w:val="24"/>
                <w:szCs w:val="24"/>
              </w:rPr>
              <w:t xml:space="preserve">5.2.2.1 </w:t>
            </w:r>
            <w:r>
              <w:rPr>
                <w:rFonts w:hint="eastAsia" w:eastAsia="楷体_GB2312"/>
                <w:b/>
                <w:bCs/>
                <w:color w:val="auto"/>
                <w:sz w:val="24"/>
                <w:szCs w:val="24"/>
              </w:rPr>
              <w:t>施工期</w:t>
            </w:r>
          </w:p>
          <w:p>
            <w:pPr>
              <w:adjustRightInd w:val="0"/>
              <w:snapToGrid w:val="0"/>
              <w:spacing w:line="360" w:lineRule="auto"/>
              <w:ind w:firstLine="480" w:firstLineChars="200"/>
              <w:jc w:val="left"/>
              <w:rPr>
                <w:color w:val="auto"/>
                <w:sz w:val="24"/>
                <w:szCs w:val="24"/>
              </w:rPr>
            </w:pPr>
            <w:r>
              <w:rPr>
                <w:rFonts w:hint="eastAsia"/>
                <w:color w:val="auto"/>
                <w:sz w:val="24"/>
                <w:szCs w:val="24"/>
              </w:rPr>
              <w:t>本工程施工期对环境产生的污染因子如下：</w:t>
            </w:r>
          </w:p>
          <w:p>
            <w:pPr>
              <w:adjustRightInd w:val="0"/>
              <w:snapToGrid w:val="0"/>
              <w:spacing w:line="360" w:lineRule="auto"/>
              <w:ind w:firstLine="480" w:firstLineChars="200"/>
              <w:jc w:val="left"/>
              <w:rPr>
                <w:color w:val="auto"/>
                <w:sz w:val="24"/>
                <w:szCs w:val="24"/>
              </w:rPr>
            </w:pPr>
            <w:r>
              <w:rPr>
                <w:rFonts w:hint="eastAsia"/>
                <w:color w:val="auto"/>
                <w:sz w:val="24"/>
                <w:szCs w:val="24"/>
              </w:rPr>
              <w:t>（</w:t>
            </w:r>
            <w:r>
              <w:rPr>
                <w:color w:val="auto"/>
                <w:sz w:val="24"/>
                <w:szCs w:val="24"/>
              </w:rPr>
              <w:t>1</w:t>
            </w:r>
            <w:r>
              <w:rPr>
                <w:rFonts w:hint="eastAsia"/>
                <w:color w:val="auto"/>
                <w:sz w:val="24"/>
                <w:szCs w:val="24"/>
              </w:rPr>
              <w:t>）施工噪声：施工机械产生。</w:t>
            </w:r>
          </w:p>
          <w:p>
            <w:pPr>
              <w:adjustRightInd w:val="0"/>
              <w:snapToGrid w:val="0"/>
              <w:spacing w:line="360" w:lineRule="auto"/>
              <w:ind w:firstLine="480" w:firstLineChars="200"/>
              <w:jc w:val="left"/>
              <w:rPr>
                <w:color w:val="auto"/>
                <w:sz w:val="24"/>
                <w:szCs w:val="24"/>
              </w:rPr>
            </w:pPr>
            <w:r>
              <w:rPr>
                <w:rFonts w:hint="eastAsia"/>
                <w:color w:val="auto"/>
                <w:sz w:val="24"/>
                <w:szCs w:val="24"/>
              </w:rPr>
              <w:t>（</w:t>
            </w:r>
            <w:r>
              <w:rPr>
                <w:color w:val="auto"/>
                <w:sz w:val="24"/>
                <w:szCs w:val="24"/>
              </w:rPr>
              <w:t>2</w:t>
            </w:r>
            <w:r>
              <w:rPr>
                <w:rFonts w:hint="eastAsia"/>
                <w:color w:val="auto"/>
                <w:sz w:val="24"/>
                <w:szCs w:val="24"/>
              </w:rPr>
              <w:t>）施工扬尘：变电站场平、基础开挖、土方调运以及设备运输过程中产生。</w:t>
            </w:r>
          </w:p>
          <w:p>
            <w:pPr>
              <w:adjustRightInd w:val="0"/>
              <w:snapToGrid w:val="0"/>
              <w:spacing w:line="360" w:lineRule="auto"/>
              <w:ind w:firstLine="480" w:firstLineChars="200"/>
              <w:jc w:val="left"/>
              <w:rPr>
                <w:color w:val="auto"/>
                <w:sz w:val="24"/>
                <w:szCs w:val="24"/>
              </w:rPr>
            </w:pPr>
            <w:r>
              <w:rPr>
                <w:rFonts w:hint="eastAsia"/>
                <w:color w:val="auto"/>
                <w:sz w:val="24"/>
                <w:szCs w:val="24"/>
              </w:rPr>
              <w:t>（</w:t>
            </w:r>
            <w:r>
              <w:rPr>
                <w:color w:val="auto"/>
                <w:sz w:val="24"/>
                <w:szCs w:val="24"/>
              </w:rPr>
              <w:t>3</w:t>
            </w:r>
            <w:r>
              <w:rPr>
                <w:rFonts w:hint="eastAsia"/>
                <w:color w:val="auto"/>
                <w:sz w:val="24"/>
                <w:szCs w:val="24"/>
              </w:rPr>
              <w:t>）施工废污水：施工废水及施工人员的生活污水。</w:t>
            </w:r>
          </w:p>
          <w:p>
            <w:pPr>
              <w:adjustRightInd w:val="0"/>
              <w:snapToGrid w:val="0"/>
              <w:spacing w:line="360" w:lineRule="auto"/>
              <w:ind w:firstLine="480" w:firstLineChars="200"/>
              <w:jc w:val="left"/>
              <w:rPr>
                <w:color w:val="auto"/>
                <w:sz w:val="24"/>
                <w:szCs w:val="24"/>
              </w:rPr>
            </w:pPr>
            <w:r>
              <w:rPr>
                <w:rFonts w:hint="eastAsia"/>
                <w:color w:val="auto"/>
                <w:sz w:val="24"/>
                <w:szCs w:val="24"/>
              </w:rPr>
              <w:t>（</w:t>
            </w:r>
            <w:r>
              <w:rPr>
                <w:color w:val="auto"/>
                <w:sz w:val="24"/>
                <w:szCs w:val="24"/>
              </w:rPr>
              <w:t>4</w:t>
            </w:r>
            <w:r>
              <w:rPr>
                <w:rFonts w:hint="eastAsia"/>
                <w:color w:val="auto"/>
                <w:sz w:val="24"/>
                <w:szCs w:val="24"/>
              </w:rPr>
              <w:t>）固体废物：施工过程中可能产生的建筑垃圾及生活垃圾。</w:t>
            </w:r>
          </w:p>
          <w:p>
            <w:pPr>
              <w:adjustRightInd w:val="0"/>
              <w:snapToGrid w:val="0"/>
              <w:spacing w:line="360" w:lineRule="auto"/>
              <w:ind w:firstLine="480" w:firstLineChars="200"/>
              <w:jc w:val="left"/>
              <w:rPr>
                <w:color w:val="auto"/>
                <w:sz w:val="24"/>
                <w:szCs w:val="24"/>
              </w:rPr>
            </w:pPr>
            <w:r>
              <w:rPr>
                <w:rFonts w:hint="eastAsia"/>
                <w:color w:val="auto"/>
                <w:sz w:val="24"/>
                <w:szCs w:val="24"/>
              </w:rPr>
              <w:t>（</w:t>
            </w:r>
            <w:r>
              <w:rPr>
                <w:color w:val="auto"/>
                <w:sz w:val="24"/>
                <w:szCs w:val="24"/>
              </w:rPr>
              <w:t>5</w:t>
            </w:r>
            <w:r>
              <w:rPr>
                <w:rFonts w:hint="eastAsia"/>
                <w:color w:val="auto"/>
                <w:sz w:val="24"/>
                <w:szCs w:val="24"/>
              </w:rPr>
              <w:t>）生态环境：变电站和塔基施工占用土地、破坏植被以及由此带来的水土流失等。</w:t>
            </w:r>
          </w:p>
          <w:p>
            <w:pPr>
              <w:spacing w:line="360" w:lineRule="auto"/>
              <w:rPr>
                <w:rFonts w:eastAsia="楷体_GB2312"/>
                <w:b/>
                <w:bCs/>
                <w:color w:val="auto"/>
                <w:sz w:val="24"/>
                <w:szCs w:val="24"/>
              </w:rPr>
            </w:pPr>
            <w:r>
              <w:rPr>
                <w:rFonts w:eastAsia="楷体_GB2312"/>
                <w:b/>
                <w:bCs/>
                <w:color w:val="auto"/>
                <w:sz w:val="24"/>
                <w:szCs w:val="24"/>
              </w:rPr>
              <w:t>5.2.2.2</w:t>
            </w:r>
            <w:r>
              <w:rPr>
                <w:rFonts w:hint="eastAsia" w:eastAsia="楷体_GB2312"/>
                <w:b/>
                <w:bCs/>
                <w:color w:val="auto"/>
                <w:sz w:val="24"/>
                <w:szCs w:val="24"/>
              </w:rPr>
              <w:t>运行期</w:t>
            </w:r>
          </w:p>
          <w:p>
            <w:pPr>
              <w:adjustRightInd w:val="0"/>
              <w:snapToGrid w:val="0"/>
              <w:spacing w:line="360" w:lineRule="auto"/>
              <w:ind w:firstLine="480" w:firstLineChars="200"/>
              <w:jc w:val="left"/>
              <w:rPr>
                <w:color w:val="auto"/>
                <w:sz w:val="24"/>
                <w:szCs w:val="24"/>
              </w:rPr>
            </w:pPr>
            <w:r>
              <w:rPr>
                <w:rFonts w:hint="eastAsia"/>
                <w:color w:val="auto"/>
                <w:sz w:val="24"/>
                <w:szCs w:val="24"/>
              </w:rPr>
              <w:t>（</w:t>
            </w:r>
            <w:r>
              <w:rPr>
                <w:color w:val="auto"/>
                <w:sz w:val="24"/>
                <w:szCs w:val="24"/>
              </w:rPr>
              <w:t>1</w:t>
            </w:r>
            <w:r>
              <w:rPr>
                <w:rFonts w:hint="eastAsia"/>
                <w:color w:val="auto"/>
                <w:sz w:val="24"/>
                <w:szCs w:val="24"/>
              </w:rPr>
              <w:t>）工频电场、工频磁感应强度</w:t>
            </w:r>
          </w:p>
          <w:p>
            <w:pPr>
              <w:adjustRightInd w:val="0"/>
              <w:snapToGrid w:val="0"/>
              <w:spacing w:line="360" w:lineRule="auto"/>
              <w:ind w:firstLine="480" w:firstLineChars="200"/>
              <w:jc w:val="left"/>
              <w:rPr>
                <w:color w:val="auto"/>
                <w:sz w:val="24"/>
                <w:szCs w:val="24"/>
              </w:rPr>
            </w:pPr>
            <w:r>
              <w:rPr>
                <w:rFonts w:hint="eastAsia"/>
                <w:color w:val="auto"/>
                <w:sz w:val="24"/>
                <w:szCs w:val="24"/>
              </w:rPr>
              <w:t>工频即指工业频率，我国输变电工业的工作频率为</w:t>
            </w:r>
            <w:r>
              <w:rPr>
                <w:color w:val="auto"/>
                <w:sz w:val="24"/>
                <w:szCs w:val="24"/>
              </w:rPr>
              <w:t>50Hz</w:t>
            </w:r>
            <w:r>
              <w:rPr>
                <w:rFonts w:hint="eastAsia"/>
                <w:color w:val="auto"/>
                <w:sz w:val="24"/>
                <w:szCs w:val="24"/>
              </w:rPr>
              <w:t>，工频电场、工频磁感应强度即指以</w:t>
            </w:r>
            <w:r>
              <w:rPr>
                <w:color w:val="auto"/>
                <w:sz w:val="24"/>
                <w:szCs w:val="24"/>
              </w:rPr>
              <w:t>50Hz</w:t>
            </w:r>
            <w:r>
              <w:rPr>
                <w:rFonts w:hint="eastAsia"/>
                <w:color w:val="auto"/>
                <w:sz w:val="24"/>
                <w:szCs w:val="24"/>
              </w:rPr>
              <w:t>周期变化的电场和磁场。</w:t>
            </w:r>
          </w:p>
          <w:p>
            <w:pPr>
              <w:adjustRightInd w:val="0"/>
              <w:snapToGrid w:val="0"/>
              <w:spacing w:line="360" w:lineRule="auto"/>
              <w:ind w:firstLine="480" w:firstLineChars="200"/>
              <w:jc w:val="left"/>
              <w:rPr>
                <w:color w:val="auto"/>
                <w:sz w:val="24"/>
                <w:szCs w:val="24"/>
              </w:rPr>
            </w:pPr>
            <w:r>
              <w:rPr>
                <w:rFonts w:hint="eastAsia"/>
                <w:color w:val="auto"/>
                <w:sz w:val="24"/>
                <w:szCs w:val="24"/>
              </w:rPr>
              <w:t>变电站在运行时，对环境的影响主要为工频电场、工频磁感应强度。</w:t>
            </w:r>
          </w:p>
          <w:p>
            <w:pPr>
              <w:adjustRightInd w:val="0"/>
              <w:snapToGrid w:val="0"/>
              <w:spacing w:line="360" w:lineRule="auto"/>
              <w:ind w:firstLine="480" w:firstLineChars="200"/>
              <w:rPr>
                <w:color w:val="auto"/>
                <w:sz w:val="24"/>
                <w:szCs w:val="24"/>
              </w:rPr>
            </w:pPr>
            <w:r>
              <w:rPr>
                <w:rFonts w:hint="eastAsia"/>
                <w:color w:val="auto"/>
                <w:sz w:val="24"/>
                <w:szCs w:val="24"/>
              </w:rPr>
              <w:t>（</w:t>
            </w:r>
            <w:r>
              <w:rPr>
                <w:color w:val="auto"/>
                <w:sz w:val="24"/>
                <w:szCs w:val="24"/>
              </w:rPr>
              <w:t>2</w:t>
            </w:r>
            <w:r>
              <w:rPr>
                <w:rFonts w:hint="eastAsia"/>
                <w:color w:val="auto"/>
                <w:sz w:val="24"/>
                <w:szCs w:val="24"/>
              </w:rPr>
              <w:t>）噪声</w:t>
            </w:r>
          </w:p>
          <w:p>
            <w:pPr>
              <w:adjustRightInd w:val="0"/>
              <w:snapToGrid w:val="0"/>
              <w:spacing w:line="360" w:lineRule="auto"/>
              <w:ind w:firstLine="480" w:firstLineChars="200"/>
              <w:rPr>
                <w:color w:val="auto"/>
                <w:sz w:val="24"/>
                <w:szCs w:val="24"/>
              </w:rPr>
            </w:pPr>
            <w:r>
              <w:rPr>
                <w:rFonts w:hint="eastAsia"/>
                <w:color w:val="auto"/>
                <w:sz w:val="24"/>
                <w:szCs w:val="24"/>
              </w:rPr>
              <w:t>储能电站内噪声主要来自变压器及其配电装置等运行会产生连续电磁性噪声，断路器、火花及电晕放电等会产生暂态的机械性和电磁性噪声，工业级储能舱空调及风机产生的机械运转噪等。因此，储能站运行期产生的噪声可能对声环境产生影响。</w:t>
            </w:r>
          </w:p>
          <w:p>
            <w:pPr>
              <w:adjustRightInd w:val="0"/>
              <w:snapToGrid w:val="0"/>
              <w:spacing w:line="360" w:lineRule="auto"/>
              <w:ind w:firstLine="480" w:firstLineChars="200"/>
              <w:jc w:val="left"/>
              <w:rPr>
                <w:color w:val="auto"/>
                <w:sz w:val="24"/>
                <w:szCs w:val="24"/>
              </w:rPr>
            </w:pPr>
            <w:r>
              <w:rPr>
                <w:rFonts w:hint="eastAsia"/>
                <w:color w:val="auto"/>
                <w:sz w:val="24"/>
                <w:szCs w:val="24"/>
              </w:rPr>
              <w:t>（</w:t>
            </w:r>
            <w:r>
              <w:rPr>
                <w:color w:val="auto"/>
                <w:sz w:val="24"/>
                <w:szCs w:val="24"/>
              </w:rPr>
              <w:t>3</w:t>
            </w:r>
            <w:r>
              <w:rPr>
                <w:rFonts w:hint="eastAsia"/>
                <w:color w:val="auto"/>
                <w:sz w:val="24"/>
                <w:szCs w:val="24"/>
              </w:rPr>
              <w:t>）废水</w:t>
            </w:r>
          </w:p>
          <w:p>
            <w:pPr>
              <w:adjustRightInd w:val="0"/>
              <w:snapToGrid w:val="0"/>
              <w:spacing w:line="360" w:lineRule="auto"/>
              <w:ind w:firstLine="480" w:firstLineChars="200"/>
              <w:rPr>
                <w:color w:val="auto"/>
                <w:sz w:val="24"/>
                <w:szCs w:val="24"/>
              </w:rPr>
            </w:pPr>
            <w:r>
              <w:rPr>
                <w:rFonts w:hint="eastAsia"/>
                <w:color w:val="auto"/>
                <w:sz w:val="24"/>
                <w:szCs w:val="24"/>
              </w:rPr>
              <w:t>变电站正常工况下，站内无工业废水产生。本工程</w:t>
            </w:r>
            <w:r>
              <w:rPr>
                <w:color w:val="auto"/>
                <w:sz w:val="24"/>
                <w:szCs w:val="24"/>
              </w:rPr>
              <w:t>110kV</w:t>
            </w:r>
            <w:r>
              <w:rPr>
                <w:rFonts w:hint="eastAsia"/>
                <w:color w:val="auto"/>
                <w:sz w:val="24"/>
                <w:szCs w:val="24"/>
              </w:rPr>
              <w:t>变电站为无人值班变电站，值守人员少，少量生活污水经化粪池预处理后定期清掏，不外排。</w:t>
            </w:r>
          </w:p>
          <w:p>
            <w:pPr>
              <w:adjustRightInd w:val="0"/>
              <w:snapToGrid w:val="0"/>
              <w:spacing w:line="360" w:lineRule="auto"/>
              <w:ind w:firstLine="480" w:firstLineChars="200"/>
              <w:rPr>
                <w:color w:val="auto"/>
                <w:sz w:val="24"/>
                <w:szCs w:val="24"/>
              </w:rPr>
            </w:pPr>
            <w:r>
              <w:rPr>
                <w:rFonts w:hint="eastAsia"/>
                <w:color w:val="auto"/>
                <w:sz w:val="24"/>
                <w:szCs w:val="24"/>
              </w:rPr>
              <w:t>（</w:t>
            </w:r>
            <w:r>
              <w:rPr>
                <w:color w:val="auto"/>
                <w:sz w:val="24"/>
                <w:szCs w:val="24"/>
              </w:rPr>
              <w:t>4</w:t>
            </w:r>
            <w:r>
              <w:rPr>
                <w:rFonts w:hint="eastAsia"/>
                <w:color w:val="auto"/>
                <w:sz w:val="24"/>
                <w:szCs w:val="24"/>
              </w:rPr>
              <w:t>）固体废弃物</w:t>
            </w:r>
          </w:p>
          <w:p>
            <w:pPr>
              <w:adjustRightInd w:val="0"/>
              <w:snapToGrid w:val="0"/>
              <w:spacing w:line="360" w:lineRule="auto"/>
              <w:ind w:firstLine="480" w:firstLineChars="200"/>
              <w:rPr>
                <w:color w:val="auto"/>
                <w:sz w:val="24"/>
                <w:szCs w:val="24"/>
              </w:rPr>
            </w:pPr>
            <w:r>
              <w:rPr>
                <w:rFonts w:hint="eastAsia"/>
                <w:color w:val="auto"/>
                <w:sz w:val="24"/>
                <w:szCs w:val="24"/>
              </w:rPr>
              <w:t>本工程中配置有垃圾箱、垃圾桶等固废收集容器，生活垃圾经收集后运至当地垃圾收集站由当地环卫部门统一处理。本工程储能变电站</w:t>
            </w:r>
            <w:r>
              <w:rPr>
                <w:color w:val="auto"/>
                <w:sz w:val="24"/>
                <w:szCs w:val="24"/>
              </w:rPr>
              <w:t>110kV</w:t>
            </w:r>
            <w:r>
              <w:rPr>
                <w:rFonts w:hint="eastAsia"/>
                <w:color w:val="auto"/>
                <w:sz w:val="24"/>
                <w:szCs w:val="24"/>
              </w:rPr>
              <w:t>主变设置有一组阀控铅酸蓄电池组，约</w:t>
            </w:r>
            <w:r>
              <w:rPr>
                <w:color w:val="auto"/>
                <w:sz w:val="24"/>
                <w:szCs w:val="24"/>
              </w:rPr>
              <w:t>104</w:t>
            </w:r>
            <w:r>
              <w:rPr>
                <w:rFonts w:hint="eastAsia"/>
                <w:color w:val="auto"/>
                <w:sz w:val="24"/>
                <w:szCs w:val="24"/>
              </w:rPr>
              <w:t>节，每节约</w:t>
            </w:r>
            <w:r>
              <w:rPr>
                <w:color w:val="auto"/>
                <w:sz w:val="24"/>
                <w:szCs w:val="24"/>
              </w:rPr>
              <w:t>8kg</w:t>
            </w:r>
            <w:r>
              <w:rPr>
                <w:rFonts w:hint="eastAsia"/>
                <w:color w:val="auto"/>
                <w:sz w:val="24"/>
                <w:szCs w:val="24"/>
              </w:rPr>
              <w:t>，使用年限为</w:t>
            </w:r>
            <w:r>
              <w:rPr>
                <w:color w:val="auto"/>
                <w:sz w:val="24"/>
                <w:szCs w:val="24"/>
              </w:rPr>
              <w:t xml:space="preserve">8-10 </w:t>
            </w:r>
            <w:r>
              <w:rPr>
                <w:rFonts w:hint="eastAsia"/>
                <w:color w:val="auto"/>
                <w:sz w:val="24"/>
                <w:szCs w:val="24"/>
              </w:rPr>
              <w:t>年。主变蓄电池待使用寿命结束后，废旧蓄电池均交由有资质单位处理，严禁随意丢弃。</w:t>
            </w:r>
          </w:p>
          <w:p>
            <w:pPr>
              <w:adjustRightInd w:val="0"/>
              <w:snapToGrid w:val="0"/>
              <w:spacing w:line="360" w:lineRule="auto"/>
              <w:ind w:firstLine="480" w:firstLineChars="200"/>
              <w:rPr>
                <w:color w:val="auto"/>
                <w:sz w:val="24"/>
                <w:szCs w:val="24"/>
              </w:rPr>
            </w:pPr>
            <w:r>
              <w:rPr>
                <w:rFonts w:hint="eastAsia"/>
                <w:color w:val="auto"/>
                <w:sz w:val="24"/>
                <w:szCs w:val="24"/>
              </w:rPr>
              <w:t>（</w:t>
            </w:r>
            <w:r>
              <w:rPr>
                <w:color w:val="auto"/>
                <w:sz w:val="24"/>
                <w:szCs w:val="24"/>
              </w:rPr>
              <w:t>5</w:t>
            </w:r>
            <w:r>
              <w:rPr>
                <w:rFonts w:hint="eastAsia"/>
                <w:color w:val="auto"/>
                <w:sz w:val="24"/>
                <w:szCs w:val="24"/>
              </w:rPr>
              <w:t>）事故变压器油</w:t>
            </w:r>
          </w:p>
          <w:p>
            <w:pPr>
              <w:adjustRightInd w:val="0"/>
              <w:snapToGrid w:val="0"/>
              <w:spacing w:line="360" w:lineRule="auto"/>
              <w:ind w:firstLine="480" w:firstLineChars="200"/>
              <w:rPr>
                <w:color w:val="auto"/>
                <w:sz w:val="24"/>
                <w:szCs w:val="24"/>
              </w:rPr>
            </w:pPr>
            <w:r>
              <w:rPr>
                <w:rFonts w:hint="eastAsia"/>
                <w:color w:val="auto"/>
                <w:sz w:val="24"/>
                <w:szCs w:val="24"/>
              </w:rPr>
              <w:t>本工程的</w:t>
            </w:r>
            <w:r>
              <w:rPr>
                <w:color w:val="auto"/>
                <w:sz w:val="24"/>
                <w:szCs w:val="24"/>
              </w:rPr>
              <w:t>110kV</w:t>
            </w:r>
            <w:r>
              <w:rPr>
                <w:rFonts w:hint="eastAsia"/>
                <w:color w:val="auto"/>
                <w:sz w:val="24"/>
                <w:szCs w:val="24"/>
              </w:rPr>
              <w:t>主变压器等电气设备为了绝缘和冷却的需要，其外壳内装有变压器油，正常情况下变压器油不外排，在事故和检修过程中的失控状态下可能造成变压器油的泄漏。工程设计有一座容量为</w:t>
            </w:r>
            <w:r>
              <w:rPr>
                <w:color w:val="auto"/>
                <w:sz w:val="24"/>
                <w:szCs w:val="24"/>
              </w:rPr>
              <w:t>25m</w:t>
            </w:r>
            <w:r>
              <w:rPr>
                <w:color w:val="auto"/>
                <w:sz w:val="24"/>
                <w:szCs w:val="24"/>
                <w:vertAlign w:val="superscript"/>
              </w:rPr>
              <w:t>3</w:t>
            </w:r>
            <w:r>
              <w:rPr>
                <w:rFonts w:hint="eastAsia"/>
                <w:color w:val="auto"/>
                <w:sz w:val="24"/>
                <w:szCs w:val="24"/>
              </w:rPr>
              <w:t>的事故油池，当变压器发生事故时，事故油经收集后优先考虑回收利用，不能回用部分交由有资质单位处置。</w:t>
            </w:r>
          </w:p>
          <w:p>
            <w:pPr>
              <w:adjustRightInd w:val="0"/>
              <w:snapToGrid w:val="0"/>
              <w:spacing w:line="360" w:lineRule="auto"/>
              <w:rPr>
                <w:rFonts w:eastAsia="楷体_GB2312"/>
                <w:b/>
                <w:bCs/>
                <w:color w:val="auto"/>
                <w:sz w:val="28"/>
                <w:szCs w:val="28"/>
              </w:rPr>
            </w:pPr>
            <w:r>
              <w:rPr>
                <w:rFonts w:eastAsia="楷体_GB2312"/>
                <w:b/>
                <w:bCs/>
                <w:color w:val="auto"/>
                <w:sz w:val="28"/>
                <w:szCs w:val="28"/>
              </w:rPr>
              <w:t xml:space="preserve">5.2.3  </w:t>
            </w:r>
            <w:r>
              <w:rPr>
                <w:rFonts w:hint="eastAsia" w:eastAsia="楷体_GB2312"/>
                <w:b/>
                <w:bCs/>
                <w:color w:val="auto"/>
                <w:sz w:val="28"/>
                <w:szCs w:val="28"/>
              </w:rPr>
              <w:t>工程环保特点</w:t>
            </w:r>
          </w:p>
          <w:p>
            <w:pPr>
              <w:adjustRightInd w:val="0"/>
              <w:snapToGrid w:val="0"/>
              <w:spacing w:line="360" w:lineRule="auto"/>
              <w:ind w:firstLine="480" w:firstLineChars="200"/>
              <w:rPr>
                <w:color w:val="auto"/>
                <w:sz w:val="24"/>
                <w:szCs w:val="24"/>
              </w:rPr>
            </w:pPr>
            <w:r>
              <w:rPr>
                <w:rFonts w:hint="eastAsia"/>
                <w:color w:val="auto"/>
                <w:sz w:val="24"/>
                <w:szCs w:val="24"/>
              </w:rPr>
              <w:t>本工程环境影响特点是：</w:t>
            </w:r>
          </w:p>
          <w:p>
            <w:pPr>
              <w:adjustRightInd w:val="0"/>
              <w:snapToGrid w:val="0"/>
              <w:spacing w:line="360" w:lineRule="auto"/>
              <w:ind w:firstLine="480" w:firstLineChars="200"/>
              <w:rPr>
                <w:color w:val="auto"/>
                <w:sz w:val="24"/>
                <w:szCs w:val="24"/>
              </w:rPr>
            </w:pPr>
            <w:r>
              <w:rPr>
                <w:rFonts w:hint="eastAsia"/>
                <w:color w:val="auto"/>
                <w:sz w:val="24"/>
                <w:szCs w:val="24"/>
              </w:rPr>
              <w:t>（</w:t>
            </w:r>
            <w:r>
              <w:rPr>
                <w:color w:val="auto"/>
                <w:sz w:val="24"/>
                <w:szCs w:val="24"/>
              </w:rPr>
              <w:t>1</w:t>
            </w:r>
            <w:r>
              <w:rPr>
                <w:rFonts w:hint="eastAsia"/>
                <w:color w:val="auto"/>
                <w:sz w:val="24"/>
                <w:szCs w:val="24"/>
              </w:rPr>
              <w:t>）施工期将产生少量的废水、废气、噪声、固体废物等污染，且对生态环境有一定影响，但采取相应保护及恢复措施后，施工期的环境影响是可逆的，可在一定时间内得到恢复。</w:t>
            </w:r>
          </w:p>
          <w:p>
            <w:pPr>
              <w:adjustRightInd w:val="0"/>
              <w:snapToGrid w:val="0"/>
              <w:spacing w:line="360" w:lineRule="auto"/>
              <w:ind w:firstLine="480" w:firstLineChars="200"/>
              <w:rPr>
                <w:color w:val="auto"/>
                <w:sz w:val="24"/>
                <w:szCs w:val="24"/>
              </w:rPr>
            </w:pPr>
            <w:r>
              <w:rPr>
                <w:rFonts w:hint="eastAsia"/>
                <w:color w:val="auto"/>
                <w:sz w:val="24"/>
                <w:szCs w:val="24"/>
              </w:rPr>
              <w:t>（</w:t>
            </w:r>
            <w:r>
              <w:rPr>
                <w:color w:val="auto"/>
                <w:sz w:val="24"/>
                <w:szCs w:val="24"/>
              </w:rPr>
              <w:t>2</w:t>
            </w:r>
            <w:r>
              <w:rPr>
                <w:rFonts w:hint="eastAsia"/>
                <w:color w:val="auto"/>
                <w:sz w:val="24"/>
                <w:szCs w:val="24"/>
              </w:rPr>
              <w:t>）运行期环境影响因子为工频电场、工频磁场及噪声。</w:t>
            </w: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adjustRightInd w:val="0"/>
              <w:snapToGrid w:val="0"/>
              <w:spacing w:line="360" w:lineRule="auto"/>
              <w:ind w:firstLine="480" w:firstLineChars="200"/>
              <w:rPr>
                <w:color w:val="auto"/>
                <w:sz w:val="24"/>
                <w:szCs w:val="24"/>
              </w:rPr>
            </w:pPr>
          </w:p>
          <w:p>
            <w:pPr>
              <w:pStyle w:val="7"/>
              <w:spacing w:line="360" w:lineRule="auto"/>
              <w:ind w:firstLine="0"/>
              <w:outlineLvl w:val="0"/>
              <w:rPr>
                <w:color w:val="auto"/>
              </w:rPr>
            </w:pPr>
          </w:p>
        </w:tc>
      </w:tr>
    </w:tbl>
    <w:p>
      <w:pPr>
        <w:pStyle w:val="5"/>
        <w:tabs>
          <w:tab w:val="left" w:pos="840"/>
        </w:tabs>
        <w:jc w:val="both"/>
        <w:rPr>
          <w:b/>
          <w:color w:val="auto"/>
          <w:sz w:val="30"/>
          <w:szCs w:val="30"/>
        </w:rPr>
      </w:pPr>
      <w:bookmarkStart w:id="26" w:name="_Toc244053171"/>
      <w:r>
        <w:rPr>
          <w:b/>
          <w:color w:val="auto"/>
          <w:sz w:val="30"/>
          <w:szCs w:val="30"/>
        </w:rPr>
        <w:br w:type="page"/>
      </w:r>
      <w:bookmarkStart w:id="27" w:name="_Toc40447924"/>
      <w:r>
        <w:rPr>
          <w:rFonts w:hint="eastAsia"/>
          <w:b/>
          <w:color w:val="auto"/>
          <w:sz w:val="30"/>
          <w:szCs w:val="30"/>
        </w:rPr>
        <w:t>六、项目主要污染物产生及预计排放情况</w:t>
      </w:r>
      <w:bookmarkEnd w:id="26"/>
      <w:bookmarkEnd w:id="27"/>
    </w:p>
    <w:tbl>
      <w:tblPr>
        <w:tblStyle w:val="86"/>
        <w:tblW w:w="928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68"/>
        <w:gridCol w:w="1363"/>
        <w:gridCol w:w="1843"/>
        <w:gridCol w:w="2269"/>
        <w:gridCol w:w="254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268" w:type="dxa"/>
          </w:tcPr>
          <w:p>
            <w:pPr>
              <w:jc w:val="center"/>
              <w:rPr>
                <w:b/>
                <w:color w:val="auto"/>
                <w:szCs w:val="21"/>
              </w:rPr>
            </w:pPr>
            <w:bookmarkStart w:id="28" w:name="_Toc244053173"/>
            <w:r>
              <w:rPr>
                <w:rFonts w:hint="eastAsia"/>
                <w:b/>
                <w:color w:val="auto"/>
                <w:szCs w:val="21"/>
              </w:rPr>
              <w:t>内容</w:t>
            </w:r>
          </w:p>
          <w:p>
            <w:pPr>
              <w:rPr>
                <w:rFonts w:eastAsia="黑体"/>
                <w:b/>
                <w:bCs/>
                <w:color w:val="auto"/>
                <w:szCs w:val="21"/>
              </w:rPr>
            </w:pPr>
            <w:r>
              <w:rPr>
                <w:rFonts w:hint="eastAsia"/>
                <w:b/>
                <w:color w:val="auto"/>
                <w:szCs w:val="21"/>
              </w:rPr>
              <w:t>类型</w:t>
            </w:r>
          </w:p>
        </w:tc>
        <w:tc>
          <w:tcPr>
            <w:tcW w:w="1363" w:type="dxa"/>
            <w:vAlign w:val="center"/>
          </w:tcPr>
          <w:p>
            <w:pPr>
              <w:jc w:val="center"/>
              <w:rPr>
                <w:b/>
                <w:color w:val="auto"/>
                <w:szCs w:val="21"/>
              </w:rPr>
            </w:pPr>
            <w:r>
              <w:rPr>
                <w:rFonts w:hint="eastAsia"/>
                <w:b/>
                <w:color w:val="auto"/>
                <w:szCs w:val="21"/>
              </w:rPr>
              <w:t>排放源</w:t>
            </w:r>
          </w:p>
        </w:tc>
        <w:tc>
          <w:tcPr>
            <w:tcW w:w="1843" w:type="dxa"/>
            <w:vAlign w:val="center"/>
          </w:tcPr>
          <w:p>
            <w:pPr>
              <w:jc w:val="center"/>
              <w:rPr>
                <w:b/>
                <w:color w:val="auto"/>
                <w:szCs w:val="21"/>
              </w:rPr>
            </w:pPr>
            <w:r>
              <w:rPr>
                <w:rFonts w:hint="eastAsia"/>
                <w:b/>
                <w:color w:val="auto"/>
                <w:szCs w:val="21"/>
              </w:rPr>
              <w:t>污染物名称</w:t>
            </w:r>
          </w:p>
        </w:tc>
        <w:tc>
          <w:tcPr>
            <w:tcW w:w="2269" w:type="dxa"/>
            <w:vAlign w:val="center"/>
          </w:tcPr>
          <w:p>
            <w:pPr>
              <w:jc w:val="center"/>
              <w:rPr>
                <w:b/>
                <w:color w:val="auto"/>
                <w:szCs w:val="21"/>
              </w:rPr>
            </w:pPr>
            <w:r>
              <w:rPr>
                <w:rFonts w:hint="eastAsia"/>
                <w:b/>
                <w:color w:val="auto"/>
                <w:szCs w:val="21"/>
              </w:rPr>
              <w:t>处理前产生浓度及产生量</w:t>
            </w:r>
          </w:p>
        </w:tc>
        <w:tc>
          <w:tcPr>
            <w:tcW w:w="2543" w:type="dxa"/>
            <w:vAlign w:val="center"/>
          </w:tcPr>
          <w:p>
            <w:pPr>
              <w:jc w:val="center"/>
              <w:rPr>
                <w:b/>
                <w:color w:val="auto"/>
                <w:szCs w:val="21"/>
              </w:rPr>
            </w:pPr>
            <w:r>
              <w:rPr>
                <w:rFonts w:hint="eastAsia"/>
                <w:b/>
                <w:color w:val="auto"/>
                <w:szCs w:val="21"/>
              </w:rPr>
              <w:t>排放浓度及排放量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5" w:hRule="atLeast"/>
          <w:jc w:val="center"/>
        </w:trPr>
        <w:tc>
          <w:tcPr>
            <w:tcW w:w="1268" w:type="dxa"/>
            <w:vMerge w:val="restart"/>
          </w:tcPr>
          <w:p>
            <w:pPr>
              <w:jc w:val="center"/>
              <w:rPr>
                <w:b/>
                <w:color w:val="auto"/>
                <w:sz w:val="24"/>
                <w:szCs w:val="24"/>
              </w:rPr>
            </w:pPr>
            <w:r>
              <w:rPr>
                <w:rFonts w:hint="eastAsia"/>
                <w:b/>
                <w:color w:val="auto"/>
                <w:sz w:val="24"/>
                <w:szCs w:val="24"/>
              </w:rPr>
              <w:t>大</w:t>
            </w:r>
          </w:p>
          <w:p>
            <w:pPr>
              <w:jc w:val="center"/>
              <w:rPr>
                <w:b/>
                <w:color w:val="auto"/>
                <w:sz w:val="24"/>
                <w:szCs w:val="24"/>
              </w:rPr>
            </w:pPr>
            <w:r>
              <w:rPr>
                <w:rFonts w:hint="eastAsia"/>
                <w:b/>
                <w:color w:val="auto"/>
                <w:sz w:val="24"/>
                <w:szCs w:val="24"/>
              </w:rPr>
              <w:t>气</w:t>
            </w:r>
          </w:p>
          <w:p>
            <w:pPr>
              <w:jc w:val="center"/>
              <w:rPr>
                <w:b/>
                <w:color w:val="auto"/>
                <w:sz w:val="24"/>
                <w:szCs w:val="24"/>
              </w:rPr>
            </w:pPr>
            <w:r>
              <w:rPr>
                <w:rFonts w:hint="eastAsia"/>
                <w:b/>
                <w:color w:val="auto"/>
                <w:sz w:val="24"/>
                <w:szCs w:val="24"/>
              </w:rPr>
              <w:t>污</w:t>
            </w:r>
          </w:p>
          <w:p>
            <w:pPr>
              <w:jc w:val="center"/>
              <w:rPr>
                <w:b/>
                <w:color w:val="auto"/>
                <w:sz w:val="24"/>
                <w:szCs w:val="24"/>
              </w:rPr>
            </w:pPr>
            <w:r>
              <w:rPr>
                <w:rFonts w:hint="eastAsia"/>
                <w:b/>
                <w:color w:val="auto"/>
                <w:sz w:val="24"/>
                <w:szCs w:val="24"/>
              </w:rPr>
              <w:t>染</w:t>
            </w:r>
          </w:p>
          <w:p>
            <w:pPr>
              <w:jc w:val="center"/>
              <w:rPr>
                <w:b/>
                <w:color w:val="auto"/>
                <w:sz w:val="24"/>
                <w:szCs w:val="24"/>
              </w:rPr>
            </w:pPr>
            <w:r>
              <w:rPr>
                <w:rFonts w:hint="eastAsia"/>
                <w:b/>
                <w:color w:val="auto"/>
                <w:sz w:val="24"/>
                <w:szCs w:val="24"/>
              </w:rPr>
              <w:t>物</w:t>
            </w:r>
          </w:p>
        </w:tc>
        <w:tc>
          <w:tcPr>
            <w:tcW w:w="1363" w:type="dxa"/>
            <w:vAlign w:val="center"/>
          </w:tcPr>
          <w:p>
            <w:pPr>
              <w:jc w:val="center"/>
              <w:rPr>
                <w:rFonts w:eastAsiaTheme="minorEastAsia"/>
                <w:color w:val="auto"/>
                <w:sz w:val="24"/>
                <w:szCs w:val="24"/>
              </w:rPr>
            </w:pPr>
            <w:r>
              <w:rPr>
                <w:rFonts w:hint="eastAsia" w:eastAsiaTheme="minorEastAsia"/>
                <w:color w:val="auto"/>
                <w:sz w:val="24"/>
                <w:szCs w:val="24"/>
              </w:rPr>
              <w:t>施工期</w:t>
            </w:r>
          </w:p>
        </w:tc>
        <w:tc>
          <w:tcPr>
            <w:tcW w:w="1843" w:type="dxa"/>
            <w:vAlign w:val="center"/>
          </w:tcPr>
          <w:p>
            <w:pPr>
              <w:jc w:val="center"/>
              <w:rPr>
                <w:rFonts w:eastAsiaTheme="minorEastAsia"/>
                <w:color w:val="auto"/>
                <w:sz w:val="24"/>
                <w:szCs w:val="24"/>
              </w:rPr>
            </w:pPr>
            <w:r>
              <w:rPr>
                <w:rFonts w:hint="eastAsia" w:eastAsiaTheme="minorEastAsia"/>
                <w:color w:val="auto"/>
                <w:sz w:val="24"/>
                <w:szCs w:val="24"/>
              </w:rPr>
              <w:t>扬尘</w:t>
            </w:r>
          </w:p>
        </w:tc>
        <w:tc>
          <w:tcPr>
            <w:tcW w:w="2269" w:type="dxa"/>
            <w:vAlign w:val="center"/>
          </w:tcPr>
          <w:p>
            <w:pPr>
              <w:snapToGrid w:val="0"/>
              <w:jc w:val="center"/>
              <w:rPr>
                <w:color w:val="auto"/>
                <w:sz w:val="24"/>
                <w:szCs w:val="24"/>
              </w:rPr>
            </w:pPr>
            <w:r>
              <w:rPr>
                <w:rFonts w:hint="eastAsia"/>
                <w:color w:val="auto"/>
                <w:sz w:val="24"/>
                <w:szCs w:val="24"/>
              </w:rPr>
              <w:t>少量</w:t>
            </w:r>
          </w:p>
        </w:tc>
        <w:tc>
          <w:tcPr>
            <w:tcW w:w="2543" w:type="dxa"/>
            <w:vAlign w:val="center"/>
          </w:tcPr>
          <w:p>
            <w:pPr>
              <w:snapToGrid w:val="0"/>
              <w:jc w:val="center"/>
              <w:rPr>
                <w:color w:val="auto"/>
                <w:sz w:val="24"/>
                <w:szCs w:val="24"/>
              </w:rPr>
            </w:pPr>
            <w:r>
              <w:rPr>
                <w:rFonts w:hint="eastAsia"/>
                <w:color w:val="auto"/>
                <w:sz w:val="24"/>
                <w:szCs w:val="24"/>
              </w:rPr>
              <w:t>少量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268" w:type="dxa"/>
            <w:vMerge w:val="continue"/>
          </w:tcPr>
          <w:p>
            <w:pPr>
              <w:jc w:val="center"/>
              <w:rPr>
                <w:b/>
                <w:color w:val="auto"/>
                <w:sz w:val="24"/>
                <w:szCs w:val="24"/>
              </w:rPr>
            </w:pPr>
          </w:p>
        </w:tc>
        <w:tc>
          <w:tcPr>
            <w:tcW w:w="1363" w:type="dxa"/>
            <w:vAlign w:val="center"/>
          </w:tcPr>
          <w:p>
            <w:pPr>
              <w:jc w:val="center"/>
              <w:rPr>
                <w:rFonts w:eastAsiaTheme="minorEastAsia"/>
                <w:color w:val="auto"/>
                <w:sz w:val="24"/>
                <w:szCs w:val="24"/>
              </w:rPr>
            </w:pPr>
            <w:r>
              <w:rPr>
                <w:rFonts w:hint="eastAsia" w:eastAsiaTheme="minorEastAsia"/>
                <w:color w:val="auto"/>
                <w:sz w:val="24"/>
                <w:szCs w:val="24"/>
              </w:rPr>
              <w:t>运行期</w:t>
            </w:r>
          </w:p>
        </w:tc>
        <w:tc>
          <w:tcPr>
            <w:tcW w:w="6655" w:type="dxa"/>
            <w:gridSpan w:val="3"/>
            <w:vAlign w:val="center"/>
          </w:tcPr>
          <w:p>
            <w:pPr>
              <w:snapToGrid w:val="0"/>
              <w:jc w:val="center"/>
              <w:rPr>
                <w:color w:val="auto"/>
                <w:sz w:val="24"/>
                <w:szCs w:val="24"/>
              </w:rPr>
            </w:pPr>
            <w:r>
              <w:rPr>
                <w:rFonts w:hint="eastAsia" w:eastAsiaTheme="minorEastAsia"/>
                <w:color w:val="auto"/>
                <w:sz w:val="24"/>
                <w:szCs w:val="24"/>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38" w:hRule="atLeast"/>
          <w:jc w:val="center"/>
        </w:trPr>
        <w:tc>
          <w:tcPr>
            <w:tcW w:w="1268" w:type="dxa"/>
            <w:vMerge w:val="restart"/>
            <w:vAlign w:val="center"/>
          </w:tcPr>
          <w:p>
            <w:pPr>
              <w:jc w:val="center"/>
              <w:rPr>
                <w:b/>
                <w:color w:val="auto"/>
                <w:sz w:val="24"/>
                <w:szCs w:val="24"/>
              </w:rPr>
            </w:pPr>
            <w:r>
              <w:rPr>
                <w:rFonts w:hint="eastAsia"/>
                <w:b/>
                <w:color w:val="auto"/>
                <w:sz w:val="24"/>
                <w:szCs w:val="24"/>
              </w:rPr>
              <w:t>水</w:t>
            </w:r>
          </w:p>
          <w:p>
            <w:pPr>
              <w:jc w:val="center"/>
              <w:rPr>
                <w:b/>
                <w:color w:val="auto"/>
                <w:sz w:val="24"/>
                <w:szCs w:val="24"/>
              </w:rPr>
            </w:pPr>
            <w:r>
              <w:rPr>
                <w:rFonts w:hint="eastAsia"/>
                <w:b/>
                <w:color w:val="auto"/>
                <w:sz w:val="24"/>
                <w:szCs w:val="24"/>
              </w:rPr>
              <w:t>污</w:t>
            </w:r>
          </w:p>
          <w:p>
            <w:pPr>
              <w:jc w:val="center"/>
              <w:rPr>
                <w:b/>
                <w:color w:val="auto"/>
                <w:sz w:val="24"/>
                <w:szCs w:val="24"/>
              </w:rPr>
            </w:pPr>
            <w:r>
              <w:rPr>
                <w:rFonts w:hint="eastAsia"/>
                <w:b/>
                <w:color w:val="auto"/>
                <w:sz w:val="24"/>
                <w:szCs w:val="24"/>
              </w:rPr>
              <w:t>染</w:t>
            </w:r>
          </w:p>
          <w:p>
            <w:pPr>
              <w:jc w:val="center"/>
              <w:rPr>
                <w:b/>
                <w:color w:val="auto"/>
                <w:sz w:val="24"/>
                <w:szCs w:val="24"/>
              </w:rPr>
            </w:pPr>
            <w:r>
              <w:rPr>
                <w:rFonts w:hint="eastAsia"/>
                <w:b/>
                <w:color w:val="auto"/>
                <w:sz w:val="24"/>
                <w:szCs w:val="24"/>
              </w:rPr>
              <w:t>物</w:t>
            </w:r>
          </w:p>
        </w:tc>
        <w:tc>
          <w:tcPr>
            <w:tcW w:w="1363" w:type="dxa"/>
            <w:vAlign w:val="center"/>
          </w:tcPr>
          <w:p>
            <w:pPr>
              <w:snapToGrid w:val="0"/>
              <w:jc w:val="center"/>
              <w:rPr>
                <w:color w:val="auto"/>
                <w:sz w:val="24"/>
                <w:szCs w:val="24"/>
              </w:rPr>
            </w:pPr>
            <w:r>
              <w:rPr>
                <w:rFonts w:hint="eastAsia" w:eastAsiaTheme="minorEastAsia"/>
                <w:color w:val="auto"/>
                <w:sz w:val="24"/>
                <w:szCs w:val="24"/>
              </w:rPr>
              <w:t>施工期</w:t>
            </w:r>
          </w:p>
        </w:tc>
        <w:tc>
          <w:tcPr>
            <w:tcW w:w="1843" w:type="dxa"/>
            <w:vAlign w:val="center"/>
          </w:tcPr>
          <w:p>
            <w:pPr>
              <w:snapToGrid w:val="0"/>
              <w:jc w:val="center"/>
              <w:rPr>
                <w:color w:val="auto"/>
                <w:sz w:val="24"/>
                <w:szCs w:val="24"/>
              </w:rPr>
            </w:pPr>
            <w:r>
              <w:rPr>
                <w:rFonts w:hint="eastAsia"/>
                <w:color w:val="auto"/>
                <w:sz w:val="24"/>
                <w:szCs w:val="24"/>
              </w:rPr>
              <w:t>生活污水</w:t>
            </w:r>
          </w:p>
          <w:p>
            <w:pPr>
              <w:snapToGrid w:val="0"/>
              <w:jc w:val="center"/>
              <w:rPr>
                <w:color w:val="auto"/>
                <w:sz w:val="24"/>
                <w:szCs w:val="24"/>
              </w:rPr>
            </w:pPr>
            <w:r>
              <w:rPr>
                <w:rFonts w:hint="eastAsia"/>
                <w:color w:val="auto"/>
                <w:sz w:val="24"/>
                <w:szCs w:val="24"/>
              </w:rPr>
              <w:t>施工废水</w:t>
            </w:r>
          </w:p>
        </w:tc>
        <w:tc>
          <w:tcPr>
            <w:tcW w:w="2269" w:type="dxa"/>
            <w:vAlign w:val="center"/>
          </w:tcPr>
          <w:p>
            <w:pPr>
              <w:snapToGrid w:val="0"/>
              <w:jc w:val="center"/>
              <w:rPr>
                <w:color w:val="auto"/>
                <w:sz w:val="24"/>
                <w:szCs w:val="24"/>
              </w:rPr>
            </w:pPr>
            <w:r>
              <w:rPr>
                <w:rFonts w:hint="eastAsia"/>
                <w:color w:val="auto"/>
                <w:sz w:val="24"/>
                <w:szCs w:val="24"/>
              </w:rPr>
              <w:t>少量</w:t>
            </w:r>
          </w:p>
        </w:tc>
        <w:tc>
          <w:tcPr>
            <w:tcW w:w="2543" w:type="dxa"/>
            <w:vAlign w:val="center"/>
          </w:tcPr>
          <w:p>
            <w:pPr>
              <w:snapToGrid w:val="0"/>
              <w:jc w:val="center"/>
              <w:rPr>
                <w:color w:val="auto"/>
                <w:sz w:val="24"/>
                <w:szCs w:val="24"/>
              </w:rPr>
            </w:pPr>
            <w:r>
              <w:rPr>
                <w:rFonts w:hint="eastAsia"/>
                <w:color w:val="auto"/>
                <w:sz w:val="24"/>
                <w:szCs w:val="24"/>
              </w:rPr>
              <w:t>生活污水纳入租用民房原有污水处理设施，生产废水在施工区域设置简易沉淀池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268" w:type="dxa"/>
            <w:vMerge w:val="continue"/>
            <w:vAlign w:val="center"/>
          </w:tcPr>
          <w:p>
            <w:pPr>
              <w:jc w:val="center"/>
              <w:rPr>
                <w:b/>
                <w:color w:val="auto"/>
                <w:sz w:val="24"/>
                <w:szCs w:val="24"/>
              </w:rPr>
            </w:pPr>
          </w:p>
        </w:tc>
        <w:tc>
          <w:tcPr>
            <w:tcW w:w="1363" w:type="dxa"/>
            <w:vAlign w:val="center"/>
          </w:tcPr>
          <w:p>
            <w:pPr>
              <w:snapToGrid w:val="0"/>
              <w:jc w:val="center"/>
              <w:rPr>
                <w:color w:val="auto"/>
                <w:sz w:val="24"/>
                <w:szCs w:val="24"/>
              </w:rPr>
            </w:pPr>
            <w:r>
              <w:rPr>
                <w:rFonts w:hint="eastAsia" w:eastAsiaTheme="minorEastAsia"/>
                <w:color w:val="auto"/>
                <w:sz w:val="24"/>
                <w:szCs w:val="24"/>
              </w:rPr>
              <w:t>运行期</w:t>
            </w:r>
          </w:p>
        </w:tc>
        <w:tc>
          <w:tcPr>
            <w:tcW w:w="1843" w:type="dxa"/>
            <w:vAlign w:val="center"/>
          </w:tcPr>
          <w:p>
            <w:pPr>
              <w:snapToGrid w:val="0"/>
              <w:jc w:val="center"/>
              <w:rPr>
                <w:color w:val="auto"/>
                <w:sz w:val="24"/>
                <w:szCs w:val="24"/>
              </w:rPr>
            </w:pPr>
            <w:r>
              <w:rPr>
                <w:rFonts w:hint="eastAsia"/>
                <w:color w:val="auto"/>
                <w:sz w:val="24"/>
                <w:szCs w:val="24"/>
              </w:rPr>
              <w:t>生活污水</w:t>
            </w:r>
          </w:p>
        </w:tc>
        <w:tc>
          <w:tcPr>
            <w:tcW w:w="2269" w:type="dxa"/>
            <w:vAlign w:val="center"/>
          </w:tcPr>
          <w:p>
            <w:pPr>
              <w:snapToGrid w:val="0"/>
              <w:jc w:val="center"/>
              <w:rPr>
                <w:color w:val="auto"/>
                <w:sz w:val="24"/>
                <w:szCs w:val="24"/>
              </w:rPr>
            </w:pPr>
            <w:r>
              <w:rPr>
                <w:rFonts w:hint="eastAsia"/>
                <w:color w:val="auto"/>
                <w:sz w:val="24"/>
                <w:szCs w:val="24"/>
              </w:rPr>
              <w:t>少量</w:t>
            </w:r>
          </w:p>
        </w:tc>
        <w:tc>
          <w:tcPr>
            <w:tcW w:w="2543" w:type="dxa"/>
            <w:vAlign w:val="center"/>
          </w:tcPr>
          <w:p>
            <w:pPr>
              <w:snapToGrid w:val="0"/>
              <w:jc w:val="center"/>
              <w:rPr>
                <w:color w:val="auto"/>
                <w:sz w:val="24"/>
                <w:szCs w:val="24"/>
              </w:rPr>
            </w:pPr>
            <w:r>
              <w:rPr>
                <w:rFonts w:hint="eastAsia"/>
                <w:color w:val="auto"/>
                <w:sz w:val="24"/>
                <w:szCs w:val="24"/>
              </w:rPr>
              <w:t>经化粪池处理后定期清掏，不外排。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157" w:hRule="atLeast"/>
          <w:jc w:val="center"/>
        </w:trPr>
        <w:tc>
          <w:tcPr>
            <w:tcW w:w="1268" w:type="dxa"/>
            <w:vMerge w:val="restart"/>
            <w:vAlign w:val="center"/>
          </w:tcPr>
          <w:p>
            <w:pPr>
              <w:jc w:val="center"/>
              <w:rPr>
                <w:b/>
                <w:color w:val="auto"/>
                <w:sz w:val="24"/>
                <w:szCs w:val="24"/>
              </w:rPr>
            </w:pPr>
            <w:r>
              <w:rPr>
                <w:rFonts w:hint="eastAsia"/>
                <w:b/>
                <w:color w:val="auto"/>
                <w:sz w:val="24"/>
                <w:szCs w:val="24"/>
              </w:rPr>
              <w:t>固</w:t>
            </w:r>
          </w:p>
          <w:p>
            <w:pPr>
              <w:jc w:val="center"/>
              <w:rPr>
                <w:b/>
                <w:color w:val="auto"/>
                <w:sz w:val="24"/>
                <w:szCs w:val="24"/>
              </w:rPr>
            </w:pPr>
            <w:r>
              <w:rPr>
                <w:rFonts w:hint="eastAsia"/>
                <w:b/>
                <w:color w:val="auto"/>
                <w:sz w:val="24"/>
                <w:szCs w:val="24"/>
              </w:rPr>
              <w:t>体</w:t>
            </w:r>
          </w:p>
          <w:p>
            <w:pPr>
              <w:jc w:val="center"/>
              <w:rPr>
                <w:b/>
                <w:color w:val="auto"/>
                <w:sz w:val="24"/>
                <w:szCs w:val="24"/>
              </w:rPr>
            </w:pPr>
            <w:r>
              <w:rPr>
                <w:rFonts w:hint="eastAsia"/>
                <w:b/>
                <w:color w:val="auto"/>
                <w:sz w:val="24"/>
                <w:szCs w:val="24"/>
              </w:rPr>
              <w:t>废</w:t>
            </w:r>
          </w:p>
          <w:p>
            <w:pPr>
              <w:jc w:val="center"/>
              <w:rPr>
                <w:b/>
                <w:color w:val="auto"/>
                <w:sz w:val="24"/>
                <w:szCs w:val="24"/>
              </w:rPr>
            </w:pPr>
            <w:r>
              <w:rPr>
                <w:rFonts w:hint="eastAsia"/>
                <w:b/>
                <w:color w:val="auto"/>
                <w:sz w:val="24"/>
                <w:szCs w:val="24"/>
              </w:rPr>
              <w:t>物</w:t>
            </w:r>
          </w:p>
        </w:tc>
        <w:tc>
          <w:tcPr>
            <w:tcW w:w="1363" w:type="dxa"/>
            <w:vAlign w:val="center"/>
          </w:tcPr>
          <w:p>
            <w:pPr>
              <w:snapToGrid w:val="0"/>
              <w:jc w:val="center"/>
              <w:rPr>
                <w:color w:val="auto"/>
                <w:sz w:val="24"/>
                <w:szCs w:val="24"/>
              </w:rPr>
            </w:pPr>
            <w:r>
              <w:rPr>
                <w:rFonts w:hint="eastAsia" w:eastAsiaTheme="minorEastAsia"/>
                <w:color w:val="auto"/>
                <w:sz w:val="24"/>
                <w:szCs w:val="24"/>
              </w:rPr>
              <w:t>施工期</w:t>
            </w:r>
          </w:p>
        </w:tc>
        <w:tc>
          <w:tcPr>
            <w:tcW w:w="1843" w:type="dxa"/>
            <w:vAlign w:val="center"/>
          </w:tcPr>
          <w:p>
            <w:pPr>
              <w:snapToGrid w:val="0"/>
              <w:jc w:val="center"/>
              <w:rPr>
                <w:color w:val="auto"/>
                <w:sz w:val="24"/>
                <w:szCs w:val="24"/>
              </w:rPr>
            </w:pPr>
            <w:r>
              <w:rPr>
                <w:rFonts w:hint="eastAsia"/>
                <w:color w:val="auto"/>
                <w:sz w:val="24"/>
                <w:szCs w:val="24"/>
              </w:rPr>
              <w:t>建筑垃圾、生活垃圾</w:t>
            </w:r>
          </w:p>
        </w:tc>
        <w:tc>
          <w:tcPr>
            <w:tcW w:w="2269" w:type="dxa"/>
            <w:vAlign w:val="center"/>
          </w:tcPr>
          <w:p>
            <w:pPr>
              <w:snapToGrid w:val="0"/>
              <w:jc w:val="center"/>
              <w:rPr>
                <w:color w:val="auto"/>
                <w:sz w:val="24"/>
                <w:szCs w:val="24"/>
              </w:rPr>
            </w:pPr>
            <w:r>
              <w:rPr>
                <w:rFonts w:hint="eastAsia"/>
                <w:color w:val="auto"/>
                <w:sz w:val="24"/>
                <w:szCs w:val="24"/>
              </w:rPr>
              <w:t>少量</w:t>
            </w:r>
          </w:p>
        </w:tc>
        <w:tc>
          <w:tcPr>
            <w:tcW w:w="2543" w:type="dxa"/>
            <w:vAlign w:val="center"/>
          </w:tcPr>
          <w:p>
            <w:pPr>
              <w:snapToGrid w:val="0"/>
              <w:jc w:val="center"/>
              <w:rPr>
                <w:color w:val="auto"/>
                <w:sz w:val="24"/>
                <w:szCs w:val="24"/>
              </w:rPr>
            </w:pPr>
            <w:r>
              <w:rPr>
                <w:rFonts w:hint="eastAsia"/>
                <w:color w:val="auto"/>
                <w:sz w:val="24"/>
                <w:szCs w:val="24"/>
              </w:rPr>
              <w:t>纳入当地生活垃圾收集处理系统，弃土交由渣土部门统一清运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2" w:hRule="atLeast"/>
          <w:jc w:val="center"/>
        </w:trPr>
        <w:tc>
          <w:tcPr>
            <w:tcW w:w="1268" w:type="dxa"/>
            <w:vMerge w:val="continue"/>
            <w:vAlign w:val="center"/>
          </w:tcPr>
          <w:p>
            <w:pPr>
              <w:jc w:val="center"/>
              <w:rPr>
                <w:b/>
                <w:color w:val="auto"/>
                <w:sz w:val="24"/>
                <w:szCs w:val="24"/>
              </w:rPr>
            </w:pPr>
          </w:p>
        </w:tc>
        <w:tc>
          <w:tcPr>
            <w:tcW w:w="1363" w:type="dxa"/>
            <w:vMerge w:val="restart"/>
            <w:vAlign w:val="center"/>
          </w:tcPr>
          <w:p>
            <w:pPr>
              <w:snapToGrid w:val="0"/>
              <w:jc w:val="center"/>
              <w:rPr>
                <w:color w:val="auto"/>
                <w:sz w:val="24"/>
                <w:szCs w:val="24"/>
              </w:rPr>
            </w:pPr>
            <w:r>
              <w:rPr>
                <w:rFonts w:hint="eastAsia" w:eastAsiaTheme="minorEastAsia"/>
                <w:color w:val="auto"/>
                <w:sz w:val="24"/>
                <w:szCs w:val="24"/>
              </w:rPr>
              <w:t>运行期</w:t>
            </w:r>
          </w:p>
          <w:p>
            <w:pPr>
              <w:snapToGrid w:val="0"/>
              <w:jc w:val="center"/>
              <w:rPr>
                <w:color w:val="auto"/>
                <w:sz w:val="24"/>
                <w:szCs w:val="24"/>
              </w:rPr>
            </w:pPr>
          </w:p>
        </w:tc>
        <w:tc>
          <w:tcPr>
            <w:tcW w:w="1843" w:type="dxa"/>
            <w:vAlign w:val="center"/>
          </w:tcPr>
          <w:p>
            <w:pPr>
              <w:snapToGrid w:val="0"/>
              <w:jc w:val="center"/>
              <w:rPr>
                <w:color w:val="auto"/>
                <w:sz w:val="24"/>
                <w:szCs w:val="24"/>
              </w:rPr>
            </w:pPr>
            <w:r>
              <w:rPr>
                <w:rFonts w:hint="eastAsia"/>
                <w:color w:val="auto"/>
                <w:sz w:val="24"/>
                <w:szCs w:val="24"/>
              </w:rPr>
              <w:t>生活垃圾</w:t>
            </w:r>
          </w:p>
        </w:tc>
        <w:tc>
          <w:tcPr>
            <w:tcW w:w="2269" w:type="dxa"/>
            <w:vAlign w:val="center"/>
          </w:tcPr>
          <w:p>
            <w:pPr>
              <w:snapToGrid w:val="0"/>
              <w:jc w:val="center"/>
              <w:rPr>
                <w:color w:val="auto"/>
                <w:sz w:val="24"/>
                <w:szCs w:val="24"/>
              </w:rPr>
            </w:pPr>
            <w:r>
              <w:rPr>
                <w:color w:val="auto"/>
                <w:sz w:val="24"/>
                <w:szCs w:val="24"/>
              </w:rPr>
              <w:t>/</w:t>
            </w:r>
          </w:p>
        </w:tc>
        <w:tc>
          <w:tcPr>
            <w:tcW w:w="2543" w:type="dxa"/>
            <w:vAlign w:val="center"/>
          </w:tcPr>
          <w:p>
            <w:pPr>
              <w:snapToGrid w:val="0"/>
              <w:jc w:val="center"/>
              <w:rPr>
                <w:color w:val="auto"/>
                <w:sz w:val="24"/>
                <w:szCs w:val="24"/>
              </w:rPr>
            </w:pPr>
            <w:r>
              <w:rPr>
                <w:rFonts w:hint="eastAsia"/>
                <w:color w:val="auto"/>
                <w:sz w:val="24"/>
                <w:szCs w:val="24"/>
              </w:rPr>
              <w:t>站内设垃圾桶等收集后交由环卫部门处理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72" w:hRule="atLeast"/>
          <w:jc w:val="center"/>
        </w:trPr>
        <w:tc>
          <w:tcPr>
            <w:tcW w:w="1268" w:type="dxa"/>
            <w:vMerge w:val="continue"/>
          </w:tcPr>
          <w:p>
            <w:pPr>
              <w:jc w:val="center"/>
              <w:rPr>
                <w:b/>
                <w:color w:val="auto"/>
                <w:sz w:val="24"/>
                <w:szCs w:val="24"/>
              </w:rPr>
            </w:pPr>
          </w:p>
        </w:tc>
        <w:tc>
          <w:tcPr>
            <w:tcW w:w="1363" w:type="dxa"/>
            <w:vMerge w:val="continue"/>
            <w:vAlign w:val="center"/>
          </w:tcPr>
          <w:p>
            <w:pPr>
              <w:snapToGrid w:val="0"/>
              <w:jc w:val="center"/>
              <w:rPr>
                <w:color w:val="auto"/>
                <w:sz w:val="24"/>
                <w:szCs w:val="24"/>
              </w:rPr>
            </w:pPr>
          </w:p>
        </w:tc>
        <w:tc>
          <w:tcPr>
            <w:tcW w:w="1843" w:type="dxa"/>
            <w:vAlign w:val="center"/>
          </w:tcPr>
          <w:p>
            <w:pPr>
              <w:snapToGrid w:val="0"/>
              <w:jc w:val="center"/>
              <w:rPr>
                <w:color w:val="auto"/>
                <w:sz w:val="24"/>
                <w:szCs w:val="24"/>
                <w:u w:val="single"/>
              </w:rPr>
            </w:pPr>
            <w:r>
              <w:rPr>
                <w:rFonts w:hint="eastAsia"/>
                <w:color w:val="auto"/>
                <w:sz w:val="24"/>
                <w:szCs w:val="24"/>
                <w:u w:val="single"/>
              </w:rPr>
              <w:t>废弃铅酸蓄电池</w:t>
            </w:r>
          </w:p>
        </w:tc>
        <w:tc>
          <w:tcPr>
            <w:tcW w:w="2269" w:type="dxa"/>
            <w:vAlign w:val="center"/>
          </w:tcPr>
          <w:p>
            <w:pPr>
              <w:snapToGrid w:val="0"/>
              <w:jc w:val="center"/>
              <w:rPr>
                <w:color w:val="auto"/>
                <w:sz w:val="24"/>
                <w:szCs w:val="24"/>
                <w:u w:val="single"/>
              </w:rPr>
            </w:pPr>
            <w:r>
              <w:rPr>
                <w:rFonts w:hint="eastAsia"/>
                <w:color w:val="auto"/>
                <w:sz w:val="24"/>
                <w:szCs w:val="24"/>
                <w:u w:val="single"/>
              </w:rPr>
              <w:t>设置一组蓄电池组，约</w:t>
            </w:r>
            <w:r>
              <w:rPr>
                <w:color w:val="auto"/>
                <w:sz w:val="24"/>
                <w:szCs w:val="24"/>
                <w:u w:val="single"/>
              </w:rPr>
              <w:t>104</w:t>
            </w:r>
            <w:r>
              <w:rPr>
                <w:rFonts w:hint="eastAsia"/>
                <w:color w:val="auto"/>
                <w:sz w:val="24"/>
                <w:szCs w:val="24"/>
                <w:u w:val="single"/>
              </w:rPr>
              <w:t>节，使用年限为</w:t>
            </w:r>
            <w:r>
              <w:rPr>
                <w:color w:val="auto"/>
                <w:sz w:val="24"/>
                <w:szCs w:val="24"/>
                <w:u w:val="single"/>
              </w:rPr>
              <w:t>8-10</w:t>
            </w:r>
            <w:r>
              <w:rPr>
                <w:rFonts w:hint="eastAsia"/>
                <w:color w:val="auto"/>
                <w:sz w:val="24"/>
                <w:szCs w:val="24"/>
                <w:u w:val="single"/>
              </w:rPr>
              <w:t>年</w:t>
            </w:r>
          </w:p>
        </w:tc>
        <w:tc>
          <w:tcPr>
            <w:tcW w:w="2543" w:type="dxa"/>
            <w:vAlign w:val="center"/>
          </w:tcPr>
          <w:p>
            <w:pPr>
              <w:snapToGrid w:val="0"/>
              <w:jc w:val="center"/>
              <w:rPr>
                <w:color w:val="auto"/>
                <w:sz w:val="24"/>
                <w:szCs w:val="24"/>
                <w:u w:val="single"/>
              </w:rPr>
            </w:pPr>
            <w:r>
              <w:rPr>
                <w:rFonts w:hint="eastAsia"/>
                <w:color w:val="auto"/>
                <w:sz w:val="24"/>
                <w:szCs w:val="24"/>
                <w:u w:val="single"/>
              </w:rPr>
              <w:t>委托有资质的单位处置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4" w:hRule="atLeast"/>
          <w:jc w:val="center"/>
        </w:trPr>
        <w:tc>
          <w:tcPr>
            <w:tcW w:w="1268" w:type="dxa"/>
            <w:vMerge w:val="continue"/>
          </w:tcPr>
          <w:p>
            <w:pPr>
              <w:jc w:val="center"/>
              <w:rPr>
                <w:b/>
                <w:color w:val="auto"/>
                <w:sz w:val="24"/>
                <w:szCs w:val="24"/>
              </w:rPr>
            </w:pPr>
          </w:p>
        </w:tc>
        <w:tc>
          <w:tcPr>
            <w:tcW w:w="1363" w:type="dxa"/>
            <w:vMerge w:val="continue"/>
            <w:vAlign w:val="center"/>
          </w:tcPr>
          <w:p>
            <w:pPr>
              <w:snapToGrid w:val="0"/>
              <w:jc w:val="center"/>
              <w:rPr>
                <w:color w:val="auto"/>
                <w:sz w:val="24"/>
                <w:szCs w:val="24"/>
              </w:rPr>
            </w:pPr>
          </w:p>
        </w:tc>
        <w:tc>
          <w:tcPr>
            <w:tcW w:w="1843" w:type="dxa"/>
            <w:vAlign w:val="center"/>
          </w:tcPr>
          <w:p>
            <w:pPr>
              <w:snapToGrid w:val="0"/>
              <w:jc w:val="center"/>
              <w:rPr>
                <w:color w:val="auto"/>
                <w:sz w:val="24"/>
                <w:szCs w:val="24"/>
                <w:u w:val="single"/>
              </w:rPr>
            </w:pPr>
            <w:r>
              <w:rPr>
                <w:rFonts w:hint="eastAsia"/>
                <w:color w:val="auto"/>
                <w:sz w:val="24"/>
                <w:szCs w:val="24"/>
                <w:u w:val="single"/>
              </w:rPr>
              <w:t>废旧磷酸锂电池</w:t>
            </w:r>
          </w:p>
        </w:tc>
        <w:tc>
          <w:tcPr>
            <w:tcW w:w="2269" w:type="dxa"/>
            <w:vAlign w:val="center"/>
          </w:tcPr>
          <w:p>
            <w:pPr>
              <w:snapToGrid w:val="0"/>
              <w:jc w:val="center"/>
              <w:rPr>
                <w:color w:val="auto"/>
                <w:sz w:val="24"/>
                <w:szCs w:val="24"/>
                <w:u w:val="single"/>
              </w:rPr>
            </w:pPr>
            <w:r>
              <w:rPr>
                <w:color w:val="auto"/>
                <w:sz w:val="24"/>
                <w:szCs w:val="24"/>
                <w:u w:val="single"/>
              </w:rPr>
              <w:t>80</w:t>
            </w:r>
            <w:r>
              <w:rPr>
                <w:rFonts w:hint="eastAsia"/>
                <w:color w:val="auto"/>
                <w:sz w:val="24"/>
                <w:szCs w:val="24"/>
                <w:u w:val="single"/>
              </w:rPr>
              <w:t>组，循环寿命期按冲放</w:t>
            </w:r>
            <w:r>
              <w:rPr>
                <w:color w:val="auto"/>
                <w:sz w:val="24"/>
                <w:szCs w:val="24"/>
                <w:u w:val="single"/>
              </w:rPr>
              <w:t>5000</w:t>
            </w:r>
            <w:r>
              <w:rPr>
                <w:rFonts w:hint="eastAsia"/>
                <w:color w:val="auto"/>
                <w:sz w:val="24"/>
                <w:szCs w:val="24"/>
                <w:u w:val="single"/>
              </w:rPr>
              <w:t>次计</w:t>
            </w:r>
          </w:p>
        </w:tc>
        <w:tc>
          <w:tcPr>
            <w:tcW w:w="2543" w:type="dxa"/>
            <w:vAlign w:val="center"/>
          </w:tcPr>
          <w:p>
            <w:pPr>
              <w:snapToGrid w:val="0"/>
              <w:jc w:val="center"/>
              <w:rPr>
                <w:color w:val="auto"/>
                <w:sz w:val="24"/>
                <w:szCs w:val="24"/>
                <w:u w:val="single"/>
              </w:rPr>
            </w:pPr>
            <w:r>
              <w:rPr>
                <w:rFonts w:hint="eastAsia"/>
                <w:color w:val="auto"/>
                <w:sz w:val="24"/>
                <w:szCs w:val="24"/>
                <w:u w:val="single"/>
              </w:rPr>
              <w:t>交由厂家回收利用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9" w:hRule="atLeast"/>
          <w:jc w:val="center"/>
        </w:trPr>
        <w:tc>
          <w:tcPr>
            <w:tcW w:w="1268" w:type="dxa"/>
            <w:vMerge w:val="continue"/>
          </w:tcPr>
          <w:p>
            <w:pPr>
              <w:jc w:val="center"/>
              <w:rPr>
                <w:b/>
                <w:color w:val="auto"/>
                <w:sz w:val="24"/>
                <w:szCs w:val="24"/>
              </w:rPr>
            </w:pPr>
          </w:p>
        </w:tc>
        <w:tc>
          <w:tcPr>
            <w:tcW w:w="1363" w:type="dxa"/>
            <w:vMerge w:val="continue"/>
            <w:vAlign w:val="center"/>
          </w:tcPr>
          <w:p>
            <w:pPr>
              <w:snapToGrid w:val="0"/>
              <w:jc w:val="center"/>
              <w:rPr>
                <w:color w:val="auto"/>
                <w:sz w:val="24"/>
                <w:szCs w:val="24"/>
              </w:rPr>
            </w:pPr>
          </w:p>
        </w:tc>
        <w:tc>
          <w:tcPr>
            <w:tcW w:w="1843" w:type="dxa"/>
            <w:vAlign w:val="center"/>
          </w:tcPr>
          <w:p>
            <w:pPr>
              <w:snapToGrid w:val="0"/>
              <w:jc w:val="center"/>
              <w:rPr>
                <w:color w:val="auto"/>
                <w:sz w:val="24"/>
                <w:szCs w:val="24"/>
              </w:rPr>
            </w:pPr>
            <w:r>
              <w:rPr>
                <w:rFonts w:hint="eastAsia"/>
                <w:color w:val="auto"/>
                <w:sz w:val="24"/>
                <w:szCs w:val="24"/>
              </w:rPr>
              <w:t>事故油</w:t>
            </w:r>
          </w:p>
        </w:tc>
        <w:tc>
          <w:tcPr>
            <w:tcW w:w="2269" w:type="dxa"/>
            <w:vAlign w:val="center"/>
          </w:tcPr>
          <w:p>
            <w:pPr>
              <w:snapToGrid w:val="0"/>
              <w:jc w:val="center"/>
              <w:rPr>
                <w:color w:val="auto"/>
                <w:sz w:val="24"/>
                <w:szCs w:val="24"/>
              </w:rPr>
            </w:pPr>
            <w:r>
              <w:rPr>
                <w:color w:val="auto"/>
                <w:sz w:val="24"/>
                <w:szCs w:val="24"/>
              </w:rPr>
              <w:t>25m</w:t>
            </w:r>
            <w:r>
              <w:rPr>
                <w:color w:val="auto"/>
                <w:sz w:val="24"/>
                <w:szCs w:val="24"/>
                <w:vertAlign w:val="superscript"/>
              </w:rPr>
              <w:t>3</w:t>
            </w:r>
          </w:p>
        </w:tc>
        <w:tc>
          <w:tcPr>
            <w:tcW w:w="2543" w:type="dxa"/>
            <w:vAlign w:val="center"/>
          </w:tcPr>
          <w:p>
            <w:pPr>
              <w:snapToGrid w:val="0"/>
              <w:jc w:val="center"/>
              <w:rPr>
                <w:color w:val="auto"/>
                <w:sz w:val="24"/>
                <w:szCs w:val="24"/>
              </w:rPr>
            </w:pPr>
            <w:r>
              <w:rPr>
                <w:rFonts w:hint="eastAsia"/>
                <w:color w:val="auto"/>
                <w:sz w:val="24"/>
                <w:szCs w:val="24"/>
              </w:rPr>
              <w:t>事故油交由有资质单位处置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7" w:hRule="atLeast"/>
          <w:jc w:val="center"/>
        </w:trPr>
        <w:tc>
          <w:tcPr>
            <w:tcW w:w="1268" w:type="dxa"/>
            <w:vMerge w:val="restart"/>
            <w:vAlign w:val="center"/>
          </w:tcPr>
          <w:p>
            <w:pPr>
              <w:jc w:val="center"/>
              <w:rPr>
                <w:b/>
                <w:color w:val="auto"/>
                <w:sz w:val="24"/>
                <w:szCs w:val="24"/>
              </w:rPr>
            </w:pPr>
            <w:r>
              <w:rPr>
                <w:rFonts w:hint="eastAsia"/>
                <w:b/>
                <w:color w:val="auto"/>
                <w:sz w:val="24"/>
                <w:szCs w:val="24"/>
              </w:rPr>
              <w:t>噪</w:t>
            </w:r>
          </w:p>
          <w:p>
            <w:pPr>
              <w:jc w:val="center"/>
              <w:rPr>
                <w:b/>
                <w:color w:val="auto"/>
                <w:sz w:val="24"/>
                <w:szCs w:val="24"/>
              </w:rPr>
            </w:pPr>
            <w:r>
              <w:rPr>
                <w:rFonts w:hint="eastAsia"/>
                <w:b/>
                <w:color w:val="auto"/>
                <w:sz w:val="24"/>
                <w:szCs w:val="24"/>
              </w:rPr>
              <w:t>声</w:t>
            </w:r>
          </w:p>
        </w:tc>
        <w:tc>
          <w:tcPr>
            <w:tcW w:w="1363" w:type="dxa"/>
            <w:vAlign w:val="center"/>
          </w:tcPr>
          <w:p>
            <w:pPr>
              <w:jc w:val="center"/>
              <w:rPr>
                <w:color w:val="auto"/>
                <w:sz w:val="24"/>
                <w:szCs w:val="24"/>
              </w:rPr>
            </w:pPr>
            <w:r>
              <w:rPr>
                <w:rFonts w:hint="eastAsia" w:eastAsiaTheme="minorEastAsia"/>
                <w:color w:val="auto"/>
                <w:sz w:val="24"/>
                <w:szCs w:val="24"/>
              </w:rPr>
              <w:t>施工期</w:t>
            </w:r>
          </w:p>
        </w:tc>
        <w:tc>
          <w:tcPr>
            <w:tcW w:w="1843" w:type="dxa"/>
            <w:vAlign w:val="center"/>
          </w:tcPr>
          <w:p>
            <w:pPr>
              <w:jc w:val="center"/>
              <w:rPr>
                <w:color w:val="auto"/>
                <w:sz w:val="24"/>
                <w:szCs w:val="24"/>
              </w:rPr>
            </w:pPr>
            <w:r>
              <w:rPr>
                <w:rFonts w:hint="eastAsia"/>
                <w:color w:val="auto"/>
                <w:sz w:val="24"/>
                <w:szCs w:val="24"/>
              </w:rPr>
              <w:t>施工机械噪声</w:t>
            </w:r>
          </w:p>
        </w:tc>
        <w:tc>
          <w:tcPr>
            <w:tcW w:w="2269" w:type="dxa"/>
            <w:vAlign w:val="center"/>
          </w:tcPr>
          <w:p>
            <w:pPr>
              <w:jc w:val="center"/>
              <w:rPr>
                <w:color w:val="auto"/>
                <w:sz w:val="24"/>
                <w:szCs w:val="24"/>
              </w:rPr>
            </w:pPr>
            <w:r>
              <w:rPr>
                <w:color w:val="auto"/>
                <w:sz w:val="24"/>
                <w:szCs w:val="24"/>
              </w:rPr>
              <w:t>70-85 dB</w:t>
            </w:r>
            <w:r>
              <w:rPr>
                <w:rFonts w:hint="eastAsia"/>
                <w:color w:val="auto"/>
                <w:sz w:val="24"/>
                <w:szCs w:val="24"/>
              </w:rPr>
              <w:t>（</w:t>
            </w:r>
            <w:r>
              <w:rPr>
                <w:color w:val="auto"/>
                <w:sz w:val="24"/>
                <w:szCs w:val="24"/>
              </w:rPr>
              <w:t>A</w:t>
            </w:r>
            <w:r>
              <w:rPr>
                <w:rFonts w:hint="eastAsia"/>
                <w:color w:val="auto"/>
                <w:sz w:val="24"/>
                <w:szCs w:val="24"/>
              </w:rPr>
              <w:t>）</w:t>
            </w:r>
          </w:p>
        </w:tc>
        <w:tc>
          <w:tcPr>
            <w:tcW w:w="2543" w:type="dxa"/>
            <w:vAlign w:val="center"/>
          </w:tcPr>
          <w:p>
            <w:pPr>
              <w:jc w:val="center"/>
              <w:rPr>
                <w:color w:val="auto"/>
                <w:sz w:val="24"/>
                <w:szCs w:val="24"/>
              </w:rPr>
            </w:pPr>
            <w:r>
              <w:rPr>
                <w:rFonts w:hint="eastAsia"/>
                <w:color w:val="auto"/>
                <w:sz w:val="24"/>
                <w:szCs w:val="24"/>
              </w:rPr>
              <w:t>满足《建筑施工场界环境噪声排放标准》（</w:t>
            </w:r>
            <w:r>
              <w:rPr>
                <w:color w:val="auto"/>
                <w:sz w:val="24"/>
                <w:szCs w:val="24"/>
              </w:rPr>
              <w:t>GB</w:t>
            </w:r>
            <w:r>
              <w:rPr>
                <w:rFonts w:hint="eastAsia"/>
                <w:color w:val="auto"/>
                <w:sz w:val="24"/>
                <w:szCs w:val="24"/>
              </w:rPr>
              <w:t>12523-2011）</w:t>
            </w:r>
            <w:r>
              <w:rPr>
                <w:color w:val="auto"/>
                <w:sz w:val="24"/>
                <w:szCs w:val="24"/>
              </w:rPr>
              <w:t>2</w:t>
            </w:r>
            <w:r>
              <w:rPr>
                <w:rFonts w:hint="eastAsia"/>
                <w:color w:val="auto"/>
                <w:sz w:val="24"/>
                <w:szCs w:val="24"/>
              </w:rPr>
              <w:t>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9" w:hRule="atLeast"/>
          <w:jc w:val="center"/>
        </w:trPr>
        <w:tc>
          <w:tcPr>
            <w:tcW w:w="1268" w:type="dxa"/>
            <w:vMerge w:val="continue"/>
            <w:vAlign w:val="center"/>
          </w:tcPr>
          <w:p>
            <w:pPr>
              <w:jc w:val="center"/>
              <w:rPr>
                <w:b/>
                <w:color w:val="auto"/>
                <w:sz w:val="24"/>
                <w:szCs w:val="24"/>
              </w:rPr>
            </w:pPr>
          </w:p>
        </w:tc>
        <w:tc>
          <w:tcPr>
            <w:tcW w:w="1363" w:type="dxa"/>
            <w:vAlign w:val="center"/>
          </w:tcPr>
          <w:p>
            <w:pPr>
              <w:snapToGrid w:val="0"/>
              <w:jc w:val="center"/>
              <w:rPr>
                <w:color w:val="auto"/>
                <w:sz w:val="24"/>
                <w:szCs w:val="24"/>
              </w:rPr>
            </w:pPr>
            <w:r>
              <w:rPr>
                <w:rFonts w:hint="eastAsia" w:eastAsiaTheme="minorEastAsia"/>
                <w:color w:val="auto"/>
                <w:sz w:val="24"/>
                <w:szCs w:val="24"/>
              </w:rPr>
              <w:t>运行期</w:t>
            </w:r>
          </w:p>
          <w:p>
            <w:pPr>
              <w:jc w:val="center"/>
              <w:rPr>
                <w:color w:val="auto"/>
                <w:sz w:val="24"/>
                <w:szCs w:val="24"/>
              </w:rPr>
            </w:pPr>
          </w:p>
        </w:tc>
        <w:tc>
          <w:tcPr>
            <w:tcW w:w="1843" w:type="dxa"/>
            <w:vAlign w:val="center"/>
          </w:tcPr>
          <w:p>
            <w:pPr>
              <w:jc w:val="center"/>
              <w:rPr>
                <w:color w:val="auto"/>
                <w:sz w:val="24"/>
                <w:szCs w:val="24"/>
              </w:rPr>
            </w:pPr>
            <w:r>
              <w:rPr>
                <w:rFonts w:hint="eastAsia"/>
                <w:color w:val="auto"/>
                <w:sz w:val="24"/>
                <w:szCs w:val="24"/>
              </w:rPr>
              <w:t>等效连续</w:t>
            </w:r>
            <w:r>
              <w:rPr>
                <w:color w:val="auto"/>
                <w:sz w:val="24"/>
                <w:szCs w:val="24"/>
              </w:rPr>
              <w:t>A</w:t>
            </w:r>
            <w:r>
              <w:rPr>
                <w:rFonts w:hint="eastAsia"/>
                <w:color w:val="auto"/>
                <w:sz w:val="24"/>
                <w:szCs w:val="24"/>
              </w:rPr>
              <w:t>声级</w:t>
            </w:r>
          </w:p>
        </w:tc>
        <w:tc>
          <w:tcPr>
            <w:tcW w:w="2269" w:type="dxa"/>
            <w:vAlign w:val="center"/>
          </w:tcPr>
          <w:p>
            <w:pPr>
              <w:jc w:val="center"/>
              <w:rPr>
                <w:color w:val="auto"/>
                <w:sz w:val="24"/>
                <w:szCs w:val="24"/>
              </w:rPr>
            </w:pPr>
            <w:r>
              <w:rPr>
                <w:color w:val="auto"/>
                <w:sz w:val="24"/>
                <w:szCs w:val="24"/>
              </w:rPr>
              <w:t>65</w:t>
            </w:r>
            <w:r>
              <w:rPr>
                <w:rFonts w:hint="eastAsia"/>
                <w:color w:val="auto"/>
                <w:sz w:val="24"/>
                <w:szCs w:val="24"/>
              </w:rPr>
              <w:t>-70</w:t>
            </w:r>
            <w:r>
              <w:rPr>
                <w:color w:val="auto"/>
                <w:sz w:val="24"/>
                <w:szCs w:val="24"/>
              </w:rPr>
              <w:t>dB</w:t>
            </w:r>
            <w:r>
              <w:rPr>
                <w:rFonts w:hint="eastAsia"/>
                <w:color w:val="auto"/>
                <w:sz w:val="24"/>
                <w:szCs w:val="24"/>
              </w:rPr>
              <w:t>（</w:t>
            </w:r>
            <w:r>
              <w:rPr>
                <w:color w:val="auto"/>
                <w:sz w:val="24"/>
                <w:szCs w:val="24"/>
              </w:rPr>
              <w:t>A</w:t>
            </w:r>
            <w:r>
              <w:rPr>
                <w:rFonts w:hint="eastAsia"/>
                <w:color w:val="auto"/>
                <w:sz w:val="24"/>
                <w:szCs w:val="24"/>
              </w:rPr>
              <w:t>）</w:t>
            </w:r>
          </w:p>
        </w:tc>
        <w:tc>
          <w:tcPr>
            <w:tcW w:w="2543" w:type="dxa"/>
            <w:vAlign w:val="center"/>
          </w:tcPr>
          <w:p>
            <w:pPr>
              <w:jc w:val="center"/>
              <w:rPr>
                <w:color w:val="auto"/>
                <w:sz w:val="24"/>
                <w:szCs w:val="24"/>
              </w:rPr>
            </w:pPr>
            <w:r>
              <w:rPr>
                <w:color w:val="auto"/>
                <w:sz w:val="24"/>
                <w:szCs w:val="24"/>
              </w:rPr>
              <w:t>50dB</w:t>
            </w:r>
            <w:r>
              <w:rPr>
                <w:rFonts w:hint="eastAsia"/>
                <w:color w:val="auto"/>
                <w:sz w:val="24"/>
                <w:szCs w:val="24"/>
              </w:rPr>
              <w:t>（</w:t>
            </w:r>
            <w:r>
              <w:rPr>
                <w:color w:val="auto"/>
                <w:sz w:val="24"/>
                <w:szCs w:val="24"/>
              </w:rPr>
              <w:t>A</w:t>
            </w:r>
            <w:r>
              <w:rPr>
                <w:rFonts w:hint="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268" w:type="dxa"/>
            <w:vAlign w:val="center"/>
          </w:tcPr>
          <w:p>
            <w:pPr>
              <w:jc w:val="center"/>
              <w:rPr>
                <w:b/>
                <w:color w:val="auto"/>
                <w:sz w:val="24"/>
                <w:szCs w:val="24"/>
              </w:rPr>
            </w:pPr>
            <w:r>
              <w:rPr>
                <w:rFonts w:hint="eastAsia"/>
                <w:b/>
                <w:color w:val="auto"/>
                <w:sz w:val="24"/>
                <w:szCs w:val="24"/>
              </w:rPr>
              <w:t>其</w:t>
            </w:r>
          </w:p>
          <w:p>
            <w:pPr>
              <w:jc w:val="center"/>
              <w:rPr>
                <w:b/>
                <w:color w:val="auto"/>
                <w:sz w:val="24"/>
                <w:szCs w:val="24"/>
              </w:rPr>
            </w:pPr>
            <w:r>
              <w:rPr>
                <w:rFonts w:hint="eastAsia"/>
                <w:b/>
                <w:color w:val="auto"/>
                <w:sz w:val="24"/>
                <w:szCs w:val="24"/>
              </w:rPr>
              <w:t>他</w:t>
            </w:r>
          </w:p>
        </w:tc>
        <w:tc>
          <w:tcPr>
            <w:tcW w:w="8018" w:type="dxa"/>
            <w:gridSpan w:val="4"/>
            <w:vAlign w:val="center"/>
          </w:tcPr>
          <w:p>
            <w:pPr>
              <w:ind w:firstLine="480" w:firstLineChars="200"/>
              <w:rPr>
                <w:color w:val="auto"/>
                <w:sz w:val="24"/>
                <w:szCs w:val="24"/>
              </w:rPr>
            </w:pPr>
            <w:r>
              <w:rPr>
                <w:rFonts w:hint="eastAsia"/>
                <w:color w:val="auto"/>
                <w:sz w:val="24"/>
                <w:szCs w:val="24"/>
              </w:rPr>
              <w:t>储能站投入运行后，将对站外环境产生工频电场、工频磁感应强度等影响，但均能满足相应标准要求。事故状态和检修时对变压器油处理不当可能因为油泄漏而造成环境风险，站内内设置有事故油池，不会对外环境产生不良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64" w:hRule="atLeast"/>
          <w:jc w:val="center"/>
        </w:trPr>
        <w:tc>
          <w:tcPr>
            <w:tcW w:w="9286" w:type="dxa"/>
            <w:gridSpan w:val="5"/>
          </w:tcPr>
          <w:p>
            <w:pPr>
              <w:rPr>
                <w:b/>
                <w:color w:val="auto"/>
                <w:sz w:val="24"/>
                <w:szCs w:val="24"/>
              </w:rPr>
            </w:pPr>
            <w:r>
              <w:rPr>
                <w:rFonts w:hint="eastAsia"/>
                <w:b/>
                <w:color w:val="auto"/>
                <w:sz w:val="24"/>
                <w:szCs w:val="24"/>
              </w:rPr>
              <w:t>主要生态环境影响</w:t>
            </w:r>
          </w:p>
          <w:p>
            <w:pPr>
              <w:spacing w:line="360" w:lineRule="auto"/>
              <w:ind w:firstLine="480" w:firstLineChars="200"/>
              <w:rPr>
                <w:color w:val="auto"/>
                <w:sz w:val="24"/>
                <w:szCs w:val="24"/>
              </w:rPr>
            </w:pPr>
            <w:r>
              <w:rPr>
                <w:rFonts w:hint="eastAsia"/>
                <w:color w:val="auto"/>
                <w:sz w:val="24"/>
                <w:szCs w:val="24"/>
              </w:rPr>
              <w:t>根据现场踏勘走访调查，本工程用地现状多为荒草地，生态影响主要为植被面积及数量的减少，施工结束后，站内及周边道路均将硬化并完成植被恢复，工程建设对生态环境较小。</w:t>
            </w:r>
          </w:p>
        </w:tc>
      </w:tr>
    </w:tbl>
    <w:p>
      <w:pPr>
        <w:pStyle w:val="5"/>
        <w:jc w:val="both"/>
        <w:rPr>
          <w:b/>
          <w:color w:val="auto"/>
          <w:sz w:val="30"/>
          <w:szCs w:val="30"/>
        </w:rPr>
      </w:pPr>
      <w:bookmarkStart w:id="29" w:name="_Toc40447925"/>
      <w:r>
        <w:rPr>
          <w:rFonts w:hint="eastAsia"/>
          <w:b/>
          <w:color w:val="auto"/>
          <w:sz w:val="30"/>
          <w:szCs w:val="30"/>
        </w:rPr>
        <w:t>七、环境影响分析</w:t>
      </w:r>
      <w:bookmarkEnd w:id="29"/>
    </w:p>
    <w:tbl>
      <w:tblPr>
        <w:tblStyle w:val="86"/>
        <w:tblW w:w="906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08" w:hRule="atLeast"/>
          <w:jc w:val="center"/>
        </w:trPr>
        <w:tc>
          <w:tcPr>
            <w:tcW w:w="9061" w:type="dxa"/>
          </w:tcPr>
          <w:p>
            <w:pPr>
              <w:numPr>
                <w:ilvl w:val="1"/>
                <w:numId w:val="6"/>
              </w:numPr>
              <w:adjustRightInd w:val="0"/>
              <w:snapToGrid w:val="0"/>
              <w:spacing w:line="360" w:lineRule="auto"/>
              <w:jc w:val="left"/>
              <w:rPr>
                <w:rFonts w:eastAsia="楷体_GB2312"/>
                <w:b/>
                <w:bCs/>
                <w:color w:val="auto"/>
                <w:sz w:val="24"/>
                <w:szCs w:val="24"/>
              </w:rPr>
            </w:pPr>
            <w:r>
              <w:rPr>
                <w:rFonts w:hint="eastAsia" w:eastAsia="楷体_GB2312"/>
                <w:b/>
                <w:bCs/>
                <w:color w:val="auto"/>
                <w:sz w:val="24"/>
                <w:szCs w:val="24"/>
              </w:rPr>
              <w:t>施工期环境影响分析</w:t>
            </w:r>
          </w:p>
          <w:p>
            <w:pPr>
              <w:adjustRightInd w:val="0"/>
              <w:snapToGrid w:val="0"/>
              <w:spacing w:line="360" w:lineRule="auto"/>
              <w:jc w:val="left"/>
              <w:rPr>
                <w:b/>
                <w:color w:val="auto"/>
                <w:sz w:val="24"/>
              </w:rPr>
            </w:pPr>
            <w:r>
              <w:rPr>
                <w:rFonts w:hint="eastAsia"/>
                <w:b/>
                <w:color w:val="auto"/>
                <w:sz w:val="24"/>
              </w:rPr>
              <w:t>7</w:t>
            </w:r>
            <w:r>
              <w:rPr>
                <w:b/>
                <w:color w:val="auto"/>
                <w:sz w:val="24"/>
              </w:rPr>
              <w:t>.1.1</w:t>
            </w:r>
            <w:r>
              <w:rPr>
                <w:rFonts w:hint="eastAsia"/>
                <w:b/>
                <w:color w:val="auto"/>
                <w:sz w:val="24"/>
              </w:rPr>
              <w:t>施工期声环境影响分析</w:t>
            </w:r>
          </w:p>
          <w:p>
            <w:pPr>
              <w:adjustRightInd w:val="0"/>
              <w:snapToGrid w:val="0"/>
              <w:spacing w:line="360" w:lineRule="auto"/>
              <w:jc w:val="left"/>
              <w:rPr>
                <w:b/>
                <w:color w:val="auto"/>
                <w:sz w:val="24"/>
              </w:rPr>
            </w:pPr>
            <w:r>
              <w:rPr>
                <w:b/>
                <w:color w:val="auto"/>
                <w:sz w:val="24"/>
              </w:rPr>
              <w:t xml:space="preserve">7.1.1.1 </w:t>
            </w:r>
            <w:r>
              <w:rPr>
                <w:rFonts w:hint="eastAsia"/>
                <w:b/>
                <w:color w:val="auto"/>
                <w:sz w:val="24"/>
              </w:rPr>
              <w:t>噪声源</w:t>
            </w:r>
          </w:p>
          <w:p>
            <w:pPr>
              <w:tabs>
                <w:tab w:val="left" w:pos="720"/>
              </w:tabs>
              <w:adjustRightInd w:val="0"/>
              <w:snapToGrid w:val="0"/>
              <w:spacing w:line="360" w:lineRule="auto"/>
              <w:ind w:firstLine="480" w:firstLineChars="200"/>
              <w:rPr>
                <w:color w:val="auto"/>
                <w:sz w:val="24"/>
              </w:rPr>
            </w:pPr>
            <w:r>
              <w:rPr>
                <w:rFonts w:hint="eastAsia"/>
                <w:color w:val="auto"/>
                <w:sz w:val="24"/>
              </w:rPr>
              <w:t>变电站施工期在挖填方、基础施工、设备安装等阶段中，可能产生施工噪声对环境的影响。噪声源主要来源于各类施工机械的运转噪声，如挖掘机、混凝土搅拌机、汽车等，噪声水平为</w:t>
            </w:r>
            <w:r>
              <w:rPr>
                <w:color w:val="auto"/>
                <w:sz w:val="24"/>
              </w:rPr>
              <w:t>70</w:t>
            </w:r>
            <w:r>
              <w:rPr>
                <w:rFonts w:hint="eastAsia"/>
                <w:color w:val="auto"/>
                <w:sz w:val="24"/>
              </w:rPr>
              <w:t>～</w:t>
            </w:r>
            <w:r>
              <w:rPr>
                <w:color w:val="auto"/>
                <w:sz w:val="24"/>
              </w:rPr>
              <w:t>85dB</w:t>
            </w:r>
            <w:r>
              <w:rPr>
                <w:rFonts w:hint="eastAsia"/>
                <w:color w:val="auto"/>
                <w:sz w:val="24"/>
              </w:rPr>
              <w:t>（</w:t>
            </w:r>
            <w:r>
              <w:rPr>
                <w:color w:val="auto"/>
                <w:sz w:val="24"/>
              </w:rPr>
              <w:t>A</w:t>
            </w:r>
            <w:r>
              <w:rPr>
                <w:rFonts w:hint="eastAsia"/>
                <w:color w:val="auto"/>
                <w:sz w:val="24"/>
              </w:rPr>
              <w:t>）。</w:t>
            </w:r>
          </w:p>
          <w:p>
            <w:pPr>
              <w:adjustRightInd w:val="0"/>
              <w:snapToGrid w:val="0"/>
              <w:spacing w:line="360" w:lineRule="auto"/>
              <w:jc w:val="left"/>
              <w:rPr>
                <w:b/>
                <w:color w:val="auto"/>
                <w:sz w:val="24"/>
              </w:rPr>
            </w:pPr>
            <w:r>
              <w:rPr>
                <w:b/>
                <w:color w:val="auto"/>
                <w:sz w:val="24"/>
              </w:rPr>
              <w:t xml:space="preserve">7.1.1.2 </w:t>
            </w:r>
            <w:r>
              <w:rPr>
                <w:rFonts w:hint="eastAsia"/>
                <w:b/>
                <w:color w:val="auto"/>
                <w:sz w:val="24"/>
              </w:rPr>
              <w:t>噪声环境敏感目标</w:t>
            </w:r>
          </w:p>
          <w:p>
            <w:pPr>
              <w:tabs>
                <w:tab w:val="left" w:pos="720"/>
              </w:tabs>
              <w:adjustRightInd w:val="0"/>
              <w:snapToGrid w:val="0"/>
              <w:spacing w:line="360" w:lineRule="auto"/>
              <w:ind w:firstLine="496" w:firstLineChars="200"/>
              <w:jc w:val="left"/>
              <w:rPr>
                <w:color w:val="auto"/>
                <w:sz w:val="24"/>
              </w:rPr>
            </w:pPr>
            <w:r>
              <w:rPr>
                <w:rFonts w:hint="eastAsia"/>
                <w:iCs/>
                <w:color w:val="auto"/>
                <w:spacing w:val="4"/>
                <w:sz w:val="24"/>
              </w:rPr>
              <w:t>根据《环境影响评价技术导则</w:t>
            </w:r>
            <w:r>
              <w:rPr>
                <w:iCs/>
                <w:color w:val="auto"/>
                <w:spacing w:val="4"/>
                <w:sz w:val="24"/>
              </w:rPr>
              <w:t>-</w:t>
            </w:r>
            <w:r>
              <w:rPr>
                <w:rFonts w:hint="eastAsia"/>
                <w:iCs/>
                <w:color w:val="auto"/>
                <w:spacing w:val="4"/>
                <w:sz w:val="24"/>
              </w:rPr>
              <w:t>声环境》（</w:t>
            </w:r>
            <w:r>
              <w:rPr>
                <w:iCs/>
                <w:color w:val="auto"/>
                <w:spacing w:val="4"/>
                <w:sz w:val="24"/>
              </w:rPr>
              <w:t>HJ2.4-2009</w:t>
            </w:r>
            <w:r>
              <w:rPr>
                <w:rFonts w:hint="eastAsia"/>
                <w:iCs/>
                <w:color w:val="auto"/>
                <w:spacing w:val="4"/>
                <w:sz w:val="24"/>
              </w:rPr>
              <w:t>），本工程所处的声环境功能区为</w:t>
            </w:r>
            <w:r>
              <w:rPr>
                <w:iCs/>
                <w:color w:val="auto"/>
                <w:spacing w:val="4"/>
                <w:sz w:val="24"/>
              </w:rPr>
              <w:t xml:space="preserve"> GB3096-2008</w:t>
            </w:r>
            <w:r>
              <w:rPr>
                <w:rFonts w:hint="eastAsia"/>
                <w:iCs/>
                <w:color w:val="auto"/>
                <w:spacing w:val="4"/>
                <w:sz w:val="24"/>
              </w:rPr>
              <w:t>中规定的</w:t>
            </w:r>
            <w:r>
              <w:rPr>
                <w:iCs/>
                <w:color w:val="auto"/>
                <w:spacing w:val="4"/>
                <w:sz w:val="24"/>
              </w:rPr>
              <w:t>3</w:t>
            </w:r>
            <w:r>
              <w:rPr>
                <w:rFonts w:hint="eastAsia"/>
                <w:iCs/>
                <w:color w:val="auto"/>
                <w:spacing w:val="4"/>
                <w:sz w:val="24"/>
              </w:rPr>
              <w:t>类地区，</w:t>
            </w:r>
            <w:r>
              <w:rPr>
                <w:rFonts w:hint="eastAsia"/>
                <w:iCs/>
                <w:color w:val="auto"/>
                <w:kern w:val="0"/>
                <w:sz w:val="24"/>
              </w:rPr>
              <w:t>周围无环境敏感目标。</w:t>
            </w:r>
          </w:p>
          <w:p>
            <w:pPr>
              <w:adjustRightInd w:val="0"/>
              <w:snapToGrid w:val="0"/>
              <w:spacing w:line="360" w:lineRule="auto"/>
              <w:jc w:val="left"/>
              <w:rPr>
                <w:b/>
                <w:color w:val="auto"/>
                <w:sz w:val="24"/>
              </w:rPr>
            </w:pPr>
            <w:r>
              <w:rPr>
                <w:b/>
                <w:color w:val="auto"/>
                <w:sz w:val="24"/>
              </w:rPr>
              <w:t xml:space="preserve">7.1.1.3 </w:t>
            </w:r>
            <w:r>
              <w:rPr>
                <w:rFonts w:hint="eastAsia"/>
                <w:b/>
                <w:color w:val="auto"/>
                <w:sz w:val="24"/>
              </w:rPr>
              <w:t>变电站施工期声环境影响分析</w:t>
            </w:r>
          </w:p>
          <w:p>
            <w:pPr>
              <w:tabs>
                <w:tab w:val="left" w:pos="720"/>
              </w:tabs>
              <w:adjustRightInd w:val="0"/>
              <w:snapToGrid w:val="0"/>
              <w:spacing w:line="360" w:lineRule="auto"/>
              <w:ind w:firstLine="480" w:firstLineChars="200"/>
              <w:jc w:val="left"/>
              <w:rPr>
                <w:color w:val="auto"/>
                <w:sz w:val="24"/>
              </w:rPr>
            </w:pPr>
            <w:r>
              <w:rPr>
                <w:rFonts w:hint="eastAsia"/>
                <w:color w:val="auto"/>
                <w:sz w:val="24"/>
              </w:rPr>
              <w:t>施工期噪声预测计算公式如下：</w:t>
            </w:r>
          </w:p>
          <w:p>
            <w:pPr>
              <w:spacing w:line="360" w:lineRule="auto"/>
              <w:ind w:firstLine="560"/>
              <w:jc w:val="center"/>
              <w:rPr>
                <w:color w:val="auto"/>
                <w:szCs w:val="28"/>
              </w:rPr>
            </w:pPr>
            <w:r>
              <w:rPr>
                <w:color w:val="auto"/>
                <w:szCs w:val="28"/>
              </w:rPr>
              <w:object>
                <v:shape id="_x0000_i1026" o:spt="75" type="#_x0000_t75" style="height:37.55pt;width:79.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p>
          <w:p>
            <w:pPr>
              <w:keepNext/>
              <w:tabs>
                <w:tab w:val="left" w:pos="720"/>
              </w:tabs>
              <w:adjustRightInd w:val="0"/>
              <w:snapToGrid w:val="0"/>
              <w:spacing w:line="360" w:lineRule="auto"/>
              <w:ind w:firstLine="480" w:firstLineChars="200"/>
              <w:jc w:val="left"/>
              <w:outlineLvl w:val="0"/>
              <w:rPr>
                <w:color w:val="auto"/>
                <w:sz w:val="24"/>
              </w:rPr>
            </w:pPr>
            <w:r>
              <w:rPr>
                <w:rFonts w:hint="eastAsia"/>
                <w:color w:val="auto"/>
                <w:sz w:val="24"/>
              </w:rPr>
              <w:t>式中，</w:t>
            </w:r>
            <w:r>
              <w:rPr>
                <w:color w:val="auto"/>
                <w:sz w:val="24"/>
              </w:rPr>
              <w:t>L</w:t>
            </w:r>
            <w:r>
              <w:rPr>
                <w:color w:val="auto"/>
                <w:sz w:val="24"/>
                <w:vertAlign w:val="subscript"/>
              </w:rPr>
              <w:t>1</w:t>
            </w:r>
            <w:r>
              <w:rPr>
                <w:rFonts w:hint="eastAsia"/>
                <w:color w:val="auto"/>
                <w:sz w:val="24"/>
              </w:rPr>
              <w:t>、</w:t>
            </w:r>
            <w:r>
              <w:rPr>
                <w:color w:val="auto"/>
                <w:sz w:val="24"/>
              </w:rPr>
              <w:t>L</w:t>
            </w:r>
            <w:r>
              <w:rPr>
                <w:color w:val="auto"/>
                <w:sz w:val="24"/>
                <w:vertAlign w:val="subscript"/>
              </w:rPr>
              <w:t>2</w:t>
            </w:r>
            <w:r>
              <w:rPr>
                <w:rFonts w:hint="eastAsia"/>
                <w:color w:val="auto"/>
                <w:sz w:val="24"/>
              </w:rPr>
              <w:t>－为与声源相距</w:t>
            </w:r>
            <w:r>
              <w:rPr>
                <w:color w:val="auto"/>
                <w:sz w:val="24"/>
              </w:rPr>
              <w:t>r</w:t>
            </w:r>
            <w:r>
              <w:rPr>
                <w:color w:val="auto"/>
                <w:sz w:val="24"/>
                <w:vertAlign w:val="subscript"/>
              </w:rPr>
              <w:t>1</w:t>
            </w:r>
            <w:r>
              <w:rPr>
                <w:rFonts w:hint="eastAsia"/>
                <w:color w:val="auto"/>
                <w:sz w:val="24"/>
              </w:rPr>
              <w:t>、</w:t>
            </w:r>
            <w:r>
              <w:rPr>
                <w:color w:val="auto"/>
                <w:sz w:val="24"/>
              </w:rPr>
              <w:t>r</w:t>
            </w:r>
            <w:r>
              <w:rPr>
                <w:color w:val="auto"/>
                <w:sz w:val="24"/>
                <w:vertAlign w:val="subscript"/>
              </w:rPr>
              <w:t>2</w:t>
            </w:r>
            <w:r>
              <w:rPr>
                <w:rFonts w:hint="eastAsia"/>
                <w:color w:val="auto"/>
                <w:sz w:val="24"/>
              </w:rPr>
              <w:t>处的施工噪声级，</w:t>
            </w:r>
            <w:r>
              <w:rPr>
                <w:color w:val="auto"/>
                <w:sz w:val="24"/>
              </w:rPr>
              <w:t>dB</w:t>
            </w:r>
            <w:r>
              <w:rPr>
                <w:rFonts w:hint="eastAsia"/>
                <w:color w:val="auto"/>
                <w:sz w:val="24"/>
              </w:rPr>
              <w:t>（</w:t>
            </w:r>
            <w:r>
              <w:rPr>
                <w:color w:val="auto"/>
                <w:sz w:val="24"/>
              </w:rPr>
              <w:t>A</w:t>
            </w:r>
            <w:r>
              <w:rPr>
                <w:rFonts w:hint="eastAsia"/>
                <w:color w:val="auto"/>
                <w:sz w:val="24"/>
              </w:rPr>
              <w:t>）。</w:t>
            </w:r>
          </w:p>
          <w:p>
            <w:pPr>
              <w:keepNext/>
              <w:adjustRightInd w:val="0"/>
              <w:snapToGrid w:val="0"/>
              <w:spacing w:line="360" w:lineRule="auto"/>
              <w:ind w:firstLine="480" w:firstLineChars="200"/>
              <w:jc w:val="left"/>
              <w:outlineLvl w:val="0"/>
              <w:rPr>
                <w:color w:val="auto"/>
                <w:sz w:val="24"/>
              </w:rPr>
            </w:pPr>
            <w:r>
              <w:rPr>
                <w:rFonts w:hint="eastAsia"/>
                <w:color w:val="auto"/>
                <w:sz w:val="24"/>
              </w:rPr>
              <w:t>取</w:t>
            </w:r>
            <w:r>
              <w:rPr>
                <w:rFonts w:hint="eastAsia"/>
                <w:color w:val="auto"/>
                <w:sz w:val="24"/>
                <w:szCs w:val="24"/>
              </w:rPr>
              <w:t>最大施工噪声源值</w:t>
            </w:r>
            <w:r>
              <w:rPr>
                <w:color w:val="auto"/>
                <w:sz w:val="24"/>
                <w:szCs w:val="24"/>
              </w:rPr>
              <w:t>85dB</w:t>
            </w:r>
            <w:r>
              <w:rPr>
                <w:rFonts w:hint="eastAsia"/>
                <w:color w:val="auto"/>
                <w:sz w:val="24"/>
                <w:szCs w:val="24"/>
              </w:rPr>
              <w:t>（</w:t>
            </w:r>
            <w:r>
              <w:rPr>
                <w:color w:val="auto"/>
                <w:sz w:val="24"/>
                <w:szCs w:val="24"/>
              </w:rPr>
              <w:t>A</w:t>
            </w:r>
            <w:r>
              <w:rPr>
                <w:rFonts w:hint="eastAsia"/>
                <w:color w:val="auto"/>
                <w:sz w:val="24"/>
                <w:szCs w:val="24"/>
              </w:rPr>
              <w:t>）对变电站施工场界噪声环境贡献值进行预测，预测结果参见</w:t>
            </w:r>
            <w:r>
              <w:rPr>
                <w:color w:val="auto"/>
              </w:rPr>
              <w:fldChar w:fldCharType="begin"/>
            </w:r>
            <w:r>
              <w:rPr>
                <w:color w:val="auto"/>
              </w:rPr>
              <w:instrText xml:space="preserve"> REF _Ref35435009 \h  \* MERGEFORMAT </w:instrText>
            </w:r>
            <w:r>
              <w:rPr>
                <w:color w:val="auto"/>
              </w:rPr>
              <w:fldChar w:fldCharType="separate"/>
            </w:r>
            <w:r>
              <w:rPr>
                <w:rFonts w:hint="eastAsia"/>
                <w:color w:val="auto"/>
                <w:sz w:val="24"/>
                <w:szCs w:val="24"/>
              </w:rPr>
              <w:t>表</w:t>
            </w:r>
            <w:r>
              <w:rPr>
                <w:color w:val="auto"/>
                <w:sz w:val="24"/>
                <w:szCs w:val="24"/>
              </w:rPr>
              <w:t>1</w:t>
            </w:r>
            <w:r>
              <w:rPr>
                <w:color w:val="auto"/>
                <w:sz w:val="24"/>
                <w:szCs w:val="24"/>
              </w:rPr>
              <w:fldChar w:fldCharType="end"/>
            </w:r>
            <w:r>
              <w:rPr>
                <w:color w:val="auto"/>
                <w:sz w:val="24"/>
                <w:szCs w:val="24"/>
              </w:rPr>
              <w:t>4</w:t>
            </w:r>
            <w:r>
              <w:rPr>
                <w:rFonts w:hint="eastAsia"/>
                <w:color w:val="auto"/>
                <w:sz w:val="24"/>
                <w:szCs w:val="24"/>
              </w:rPr>
              <w:t>。</w:t>
            </w:r>
          </w:p>
          <w:p>
            <w:pPr>
              <w:pStyle w:val="23"/>
              <w:ind w:left="720" w:firstLine="482"/>
              <w:jc w:val="center"/>
              <w:rPr>
                <w:rFonts w:ascii="Times New Roman" w:hAnsi="Times New Roman" w:cs="Times New Roman"/>
                <w:b/>
                <w:color w:val="auto"/>
                <w:szCs w:val="24"/>
              </w:rPr>
            </w:pPr>
            <w:bookmarkStart w:id="30" w:name="_Ref35435009"/>
            <w:r>
              <w:rPr>
                <w:rFonts w:hint="eastAsia" w:ascii="Times New Roman" w:hAnsi="Times New Roman" w:cs="Times New Roman"/>
                <w:b/>
                <w:color w:val="auto"/>
                <w:szCs w:val="24"/>
              </w:rPr>
              <w:t>表</w:t>
            </w:r>
            <w:r>
              <w:rPr>
                <w:rFonts w:ascii="Times New Roman" w:hAnsi="Times New Roman" w:cs="Times New Roman"/>
                <w:b/>
                <w:color w:val="auto"/>
                <w:szCs w:val="24"/>
              </w:rPr>
              <w:fldChar w:fldCharType="begin"/>
            </w:r>
            <w:r>
              <w:rPr>
                <w:rFonts w:ascii="Times New Roman" w:hAnsi="Times New Roman" w:cs="Times New Roman"/>
                <w:b/>
                <w:color w:val="auto"/>
                <w:szCs w:val="24"/>
              </w:rPr>
              <w:instrText xml:space="preserve"> SEQ </w:instrText>
            </w:r>
            <w:r>
              <w:rPr>
                <w:rFonts w:hint="eastAsia" w:ascii="Times New Roman" w:hAnsi="Times New Roman" w:cs="Times New Roman"/>
                <w:b/>
                <w:color w:val="auto"/>
                <w:szCs w:val="24"/>
              </w:rPr>
              <w:instrText xml:space="preserve">表</w:instrText>
            </w:r>
            <w:r>
              <w:rPr>
                <w:rFonts w:ascii="Times New Roman" w:hAnsi="Times New Roman" w:cs="Times New Roman"/>
                <w:b/>
                <w:color w:val="auto"/>
                <w:szCs w:val="24"/>
              </w:rPr>
              <w:instrText xml:space="preserve"> \* ARABIC </w:instrText>
            </w:r>
            <w:r>
              <w:rPr>
                <w:rFonts w:ascii="Times New Roman" w:hAnsi="Times New Roman" w:cs="Times New Roman"/>
                <w:b/>
                <w:color w:val="auto"/>
                <w:szCs w:val="24"/>
              </w:rPr>
              <w:fldChar w:fldCharType="separate"/>
            </w:r>
            <w:r>
              <w:rPr>
                <w:rFonts w:ascii="Times New Roman" w:hAnsi="Times New Roman" w:cs="Times New Roman"/>
                <w:b/>
                <w:color w:val="auto"/>
                <w:szCs w:val="24"/>
              </w:rPr>
              <w:t>1</w:t>
            </w:r>
            <w:r>
              <w:rPr>
                <w:rFonts w:ascii="Times New Roman" w:hAnsi="Times New Roman" w:cs="Times New Roman"/>
                <w:b/>
                <w:color w:val="auto"/>
                <w:szCs w:val="24"/>
              </w:rPr>
              <w:fldChar w:fldCharType="end"/>
            </w:r>
            <w:bookmarkEnd w:id="30"/>
            <w:r>
              <w:rPr>
                <w:rFonts w:ascii="Times New Roman" w:hAnsi="Times New Roman" w:cs="Times New Roman"/>
                <w:b/>
                <w:color w:val="auto"/>
                <w:szCs w:val="24"/>
              </w:rPr>
              <w:t xml:space="preserve">4 </w:t>
            </w:r>
            <w:r>
              <w:rPr>
                <w:rFonts w:hint="eastAsia" w:ascii="Times New Roman" w:hAnsi="Times New Roman" w:cs="Times New Roman"/>
                <w:b/>
                <w:color w:val="auto"/>
                <w:szCs w:val="24"/>
              </w:rPr>
              <w:t>施工噪声源对变电站施工场界噪声贡献值</w:t>
            </w:r>
          </w:p>
          <w:tbl>
            <w:tblPr>
              <w:tblStyle w:val="8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0"/>
              <w:gridCol w:w="1364"/>
              <w:gridCol w:w="795"/>
              <w:gridCol w:w="795"/>
              <w:gridCol w:w="795"/>
              <w:gridCol w:w="795"/>
              <w:gridCol w:w="795"/>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pct"/>
                  <w:shd w:val="clear" w:color="auto" w:fill="auto"/>
                  <w:vAlign w:val="center"/>
                </w:tcPr>
                <w:p>
                  <w:pPr>
                    <w:pStyle w:val="342"/>
                    <w:keepNext/>
                    <w:outlineLvl w:val="0"/>
                    <w:rPr>
                      <w:rFonts w:ascii="Times New Roman" w:hAnsi="Times New Roman" w:cs="Times New Roman"/>
                      <w:color w:val="auto"/>
                    </w:rPr>
                  </w:pPr>
                  <w:r>
                    <w:rPr>
                      <w:rFonts w:hint="eastAsia" w:ascii="Times New Roman" w:hAnsi="Times New Roman" w:cs="Times New Roman"/>
                      <w:color w:val="auto"/>
                    </w:rPr>
                    <w:t>距变电站场界外距离</w:t>
                  </w:r>
                  <w:r>
                    <w:rPr>
                      <w:rFonts w:ascii="Times New Roman" w:hAnsi="Times New Roman" w:cs="Times New Roman"/>
                      <w:color w:val="auto"/>
                    </w:rPr>
                    <w:t>(m)</w:t>
                  </w:r>
                </w:p>
              </w:tc>
              <w:tc>
                <w:tcPr>
                  <w:tcW w:w="772"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0</w:t>
                  </w:r>
                </w:p>
              </w:tc>
              <w:tc>
                <w:tcPr>
                  <w:tcW w:w="450"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10</w:t>
                  </w:r>
                </w:p>
              </w:tc>
              <w:tc>
                <w:tcPr>
                  <w:tcW w:w="450"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15</w:t>
                  </w:r>
                </w:p>
              </w:tc>
              <w:tc>
                <w:tcPr>
                  <w:tcW w:w="450"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30</w:t>
                  </w:r>
                </w:p>
              </w:tc>
              <w:tc>
                <w:tcPr>
                  <w:tcW w:w="450"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80</w:t>
                  </w:r>
                </w:p>
              </w:tc>
              <w:tc>
                <w:tcPr>
                  <w:tcW w:w="450"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100</w:t>
                  </w:r>
                </w:p>
              </w:tc>
              <w:tc>
                <w:tcPr>
                  <w:tcW w:w="456"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pct"/>
                  <w:shd w:val="clear" w:color="auto" w:fill="auto"/>
                  <w:vAlign w:val="center"/>
                </w:tcPr>
                <w:p>
                  <w:pPr>
                    <w:pStyle w:val="342"/>
                    <w:keepNext/>
                    <w:outlineLvl w:val="0"/>
                    <w:rPr>
                      <w:rFonts w:ascii="Times New Roman" w:hAnsi="Times New Roman" w:cs="Times New Roman"/>
                      <w:color w:val="auto"/>
                    </w:rPr>
                  </w:pPr>
                  <w:r>
                    <w:rPr>
                      <w:rFonts w:hint="eastAsia" w:ascii="Times New Roman" w:hAnsi="Times New Roman" w:cs="Times New Roman"/>
                      <w:color w:val="auto"/>
                    </w:rPr>
                    <w:t>无围墙噪声贡献值</w:t>
                  </w:r>
                  <w:r>
                    <w:rPr>
                      <w:rFonts w:ascii="Times New Roman" w:hAnsi="Times New Roman" w:cs="Times New Roman"/>
                      <w:color w:val="auto"/>
                    </w:rPr>
                    <w:t>dB(A)</w:t>
                  </w:r>
                </w:p>
              </w:tc>
              <w:tc>
                <w:tcPr>
                  <w:tcW w:w="772"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71</w:t>
                  </w:r>
                </w:p>
              </w:tc>
              <w:tc>
                <w:tcPr>
                  <w:tcW w:w="450"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61</w:t>
                  </w:r>
                </w:p>
              </w:tc>
              <w:tc>
                <w:tcPr>
                  <w:tcW w:w="450"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59</w:t>
                  </w:r>
                </w:p>
              </w:tc>
              <w:tc>
                <w:tcPr>
                  <w:tcW w:w="450"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54</w:t>
                  </w:r>
                </w:p>
              </w:tc>
              <w:tc>
                <w:tcPr>
                  <w:tcW w:w="450"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46</w:t>
                  </w:r>
                </w:p>
              </w:tc>
              <w:tc>
                <w:tcPr>
                  <w:tcW w:w="450"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45</w:t>
                  </w:r>
                </w:p>
              </w:tc>
              <w:tc>
                <w:tcPr>
                  <w:tcW w:w="456"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pct"/>
                  <w:shd w:val="clear" w:color="auto" w:fill="auto"/>
                  <w:vAlign w:val="center"/>
                </w:tcPr>
                <w:p>
                  <w:pPr>
                    <w:pStyle w:val="342"/>
                    <w:keepNext/>
                    <w:outlineLvl w:val="0"/>
                    <w:rPr>
                      <w:rFonts w:ascii="Times New Roman" w:hAnsi="Times New Roman" w:cs="Times New Roman"/>
                      <w:color w:val="auto"/>
                    </w:rPr>
                  </w:pPr>
                  <w:r>
                    <w:rPr>
                      <w:rFonts w:hint="eastAsia" w:ascii="Times New Roman" w:hAnsi="Times New Roman" w:cs="Times New Roman"/>
                      <w:color w:val="auto"/>
                    </w:rPr>
                    <w:t>有围墙噪声贡献值</w:t>
                  </w:r>
                  <w:r>
                    <w:rPr>
                      <w:rFonts w:ascii="Times New Roman" w:hAnsi="Times New Roman" w:cs="Times New Roman"/>
                      <w:color w:val="auto"/>
                    </w:rPr>
                    <w:t>dB(A)</w:t>
                  </w:r>
                </w:p>
              </w:tc>
              <w:tc>
                <w:tcPr>
                  <w:tcW w:w="772"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66</w:t>
                  </w:r>
                </w:p>
              </w:tc>
              <w:tc>
                <w:tcPr>
                  <w:tcW w:w="450"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56</w:t>
                  </w:r>
                </w:p>
              </w:tc>
              <w:tc>
                <w:tcPr>
                  <w:tcW w:w="450"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54</w:t>
                  </w:r>
                </w:p>
              </w:tc>
              <w:tc>
                <w:tcPr>
                  <w:tcW w:w="450"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49</w:t>
                  </w:r>
                </w:p>
              </w:tc>
              <w:tc>
                <w:tcPr>
                  <w:tcW w:w="450"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41</w:t>
                  </w:r>
                </w:p>
              </w:tc>
              <w:tc>
                <w:tcPr>
                  <w:tcW w:w="450"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40</w:t>
                  </w:r>
                </w:p>
              </w:tc>
              <w:tc>
                <w:tcPr>
                  <w:tcW w:w="456" w:type="pct"/>
                  <w:shd w:val="clear" w:color="auto" w:fill="auto"/>
                  <w:vAlign w:val="center"/>
                </w:tcPr>
                <w:p>
                  <w:pPr>
                    <w:pStyle w:val="342"/>
                    <w:keepNext/>
                    <w:outlineLvl w:val="0"/>
                    <w:rPr>
                      <w:rFonts w:ascii="Times New Roman" w:hAnsi="Times New Roman" w:cs="Times New Roman"/>
                      <w:color w:val="auto"/>
                    </w:rPr>
                  </w:pPr>
                  <w:r>
                    <w:rPr>
                      <w:rFonts w:ascii="Times New Roman" w:hAnsi="Times New Roman" w:cs="Times New Roman"/>
                      <w:color w:val="auto"/>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pct"/>
                  <w:shd w:val="clear" w:color="auto" w:fill="auto"/>
                  <w:vAlign w:val="center"/>
                </w:tcPr>
                <w:p>
                  <w:pPr>
                    <w:pStyle w:val="342"/>
                    <w:keepNext/>
                    <w:outlineLvl w:val="0"/>
                    <w:rPr>
                      <w:rFonts w:ascii="Times New Roman" w:hAnsi="Times New Roman" w:cs="Times New Roman"/>
                      <w:color w:val="auto"/>
                    </w:rPr>
                  </w:pPr>
                  <w:r>
                    <w:rPr>
                      <w:rFonts w:hint="eastAsia" w:ascii="Times New Roman" w:hAnsi="Times New Roman" w:cs="Times New Roman"/>
                      <w:color w:val="auto"/>
                    </w:rPr>
                    <w:t>施工场界噪声标准</w:t>
                  </w:r>
                </w:p>
                <w:p>
                  <w:pPr>
                    <w:pStyle w:val="342"/>
                    <w:keepNext/>
                    <w:outlineLvl w:val="0"/>
                    <w:rPr>
                      <w:rFonts w:ascii="Times New Roman" w:hAnsi="Times New Roman" w:cs="Times New Roman"/>
                      <w:color w:val="auto"/>
                    </w:rPr>
                  </w:pPr>
                  <w:r>
                    <w:rPr>
                      <w:rFonts w:hint="eastAsia" w:ascii="Times New Roman" w:hAnsi="Times New Roman" w:cs="Times New Roman"/>
                      <w:color w:val="auto"/>
                    </w:rPr>
                    <w:t>（土石方工程）</w:t>
                  </w:r>
                  <w:r>
                    <w:rPr>
                      <w:rFonts w:ascii="Times New Roman" w:hAnsi="Times New Roman" w:cs="Times New Roman"/>
                      <w:color w:val="auto"/>
                    </w:rPr>
                    <w:t>dB(A)</w:t>
                  </w:r>
                </w:p>
              </w:tc>
              <w:tc>
                <w:tcPr>
                  <w:tcW w:w="3478" w:type="pct"/>
                  <w:gridSpan w:val="7"/>
                  <w:shd w:val="clear" w:color="auto" w:fill="auto"/>
                  <w:vAlign w:val="center"/>
                </w:tcPr>
                <w:p>
                  <w:pPr>
                    <w:pStyle w:val="342"/>
                    <w:keepNext/>
                    <w:outlineLvl w:val="0"/>
                    <w:rPr>
                      <w:rFonts w:ascii="Times New Roman" w:hAnsi="Times New Roman" w:cs="Times New Roman"/>
                      <w:color w:val="auto"/>
                    </w:rPr>
                  </w:pPr>
                  <w:r>
                    <w:rPr>
                      <w:rFonts w:hint="eastAsia" w:ascii="Times New Roman" w:hAnsi="Times New Roman" w:cs="Times New Roman"/>
                      <w:color w:val="auto"/>
                    </w:rPr>
                    <w:t>昼间</w:t>
                  </w:r>
                  <w:r>
                    <w:rPr>
                      <w:rFonts w:ascii="Times New Roman" w:hAnsi="Times New Roman" w:cs="Times New Roman"/>
                      <w:color w:val="auto"/>
                    </w:rPr>
                    <w:t>70 dB(A)</w:t>
                  </w:r>
                  <w:r>
                    <w:rPr>
                      <w:rFonts w:hint="eastAsia" w:ascii="Times New Roman" w:hAnsi="Times New Roman" w:cs="Times New Roman"/>
                      <w:color w:val="auto"/>
                    </w:rPr>
                    <w:t>，夜间</w:t>
                  </w:r>
                  <w:r>
                    <w:rPr>
                      <w:rFonts w:ascii="Times New Roman" w:hAnsi="Times New Roman" w:cs="Times New Roman"/>
                      <w:color w:val="auto"/>
                    </w:rPr>
                    <w:t>55 dB(A)</w:t>
                  </w:r>
                </w:p>
              </w:tc>
            </w:tr>
          </w:tbl>
          <w:p>
            <w:pPr>
              <w:spacing w:afterLines="50"/>
              <w:rPr>
                <w:color w:val="auto"/>
                <w:kern w:val="0"/>
                <w:szCs w:val="21"/>
              </w:rPr>
            </w:pPr>
            <w:r>
              <w:rPr>
                <w:rFonts w:hint="eastAsia"/>
                <w:color w:val="auto"/>
                <w:kern w:val="0"/>
                <w:szCs w:val="21"/>
              </w:rPr>
              <w:t>注：按最不利情况假设施工设备距场界</w:t>
            </w:r>
            <w:r>
              <w:rPr>
                <w:color w:val="auto"/>
                <w:kern w:val="0"/>
                <w:szCs w:val="21"/>
              </w:rPr>
              <w:t>5m</w:t>
            </w:r>
            <w:r>
              <w:rPr>
                <w:rFonts w:hint="eastAsia"/>
                <w:color w:val="auto"/>
                <w:kern w:val="0"/>
                <w:szCs w:val="21"/>
              </w:rPr>
              <w:t>。</w:t>
            </w:r>
          </w:p>
          <w:p>
            <w:pPr>
              <w:tabs>
                <w:tab w:val="left" w:pos="720"/>
              </w:tabs>
              <w:adjustRightInd w:val="0"/>
              <w:snapToGrid w:val="0"/>
              <w:spacing w:line="360" w:lineRule="auto"/>
              <w:ind w:firstLine="480" w:firstLineChars="200"/>
              <w:rPr>
                <w:color w:val="auto"/>
                <w:sz w:val="24"/>
              </w:rPr>
            </w:pPr>
            <w:r>
              <w:rPr>
                <w:rFonts w:hint="eastAsia"/>
                <w:color w:val="auto"/>
                <w:sz w:val="24"/>
              </w:rPr>
              <w:t>由</w:t>
            </w:r>
            <w:r>
              <w:rPr>
                <w:color w:val="auto"/>
              </w:rPr>
              <w:fldChar w:fldCharType="begin"/>
            </w:r>
            <w:r>
              <w:rPr>
                <w:color w:val="auto"/>
              </w:rPr>
              <w:instrText xml:space="preserve"> REF _Ref35435009 \h  \* MERGEFORMAT </w:instrText>
            </w:r>
            <w:r>
              <w:rPr>
                <w:color w:val="auto"/>
              </w:rPr>
              <w:fldChar w:fldCharType="separate"/>
            </w:r>
            <w:r>
              <w:rPr>
                <w:rFonts w:hint="eastAsia"/>
                <w:color w:val="auto"/>
                <w:sz w:val="24"/>
                <w:szCs w:val="24"/>
              </w:rPr>
              <w:t>表</w:t>
            </w:r>
            <w:r>
              <w:rPr>
                <w:color w:val="auto"/>
                <w:sz w:val="24"/>
                <w:szCs w:val="24"/>
              </w:rPr>
              <w:t>1</w:t>
            </w:r>
            <w:r>
              <w:rPr>
                <w:color w:val="auto"/>
                <w:sz w:val="24"/>
                <w:szCs w:val="24"/>
              </w:rPr>
              <w:fldChar w:fldCharType="end"/>
            </w:r>
            <w:r>
              <w:rPr>
                <w:rFonts w:hint="eastAsia"/>
                <w:color w:val="auto"/>
                <w:sz w:val="24"/>
                <w:szCs w:val="24"/>
              </w:rPr>
              <w:t>可</w:t>
            </w:r>
            <w:r>
              <w:rPr>
                <w:rFonts w:hint="eastAsia"/>
                <w:color w:val="auto"/>
                <w:sz w:val="24"/>
              </w:rPr>
              <w:t>知，变电站施工场界噪声值为</w:t>
            </w:r>
            <w:r>
              <w:rPr>
                <w:color w:val="auto"/>
                <w:sz w:val="24"/>
              </w:rPr>
              <w:t>66dB</w:t>
            </w:r>
            <w:r>
              <w:rPr>
                <w:rFonts w:hint="eastAsia"/>
                <w:color w:val="auto"/>
                <w:sz w:val="24"/>
              </w:rPr>
              <w:t>（</w:t>
            </w:r>
            <w:r>
              <w:rPr>
                <w:color w:val="auto"/>
                <w:sz w:val="24"/>
              </w:rPr>
              <w:t>A</w:t>
            </w:r>
            <w:r>
              <w:rPr>
                <w:rFonts w:hint="eastAsia"/>
                <w:color w:val="auto"/>
                <w:sz w:val="24"/>
              </w:rPr>
              <w:t>），符合《建筑施工场界环境噪声排放标准》中昼间</w:t>
            </w:r>
            <w:r>
              <w:rPr>
                <w:color w:val="auto"/>
                <w:sz w:val="24"/>
              </w:rPr>
              <w:t>70dB</w:t>
            </w:r>
            <w:r>
              <w:rPr>
                <w:rFonts w:hint="eastAsia"/>
                <w:color w:val="auto"/>
                <w:sz w:val="24"/>
              </w:rPr>
              <w:t>（</w:t>
            </w:r>
            <w:r>
              <w:rPr>
                <w:color w:val="auto"/>
                <w:sz w:val="24"/>
              </w:rPr>
              <w:t>A</w:t>
            </w:r>
            <w:r>
              <w:rPr>
                <w:rFonts w:hint="eastAsia"/>
                <w:color w:val="auto"/>
                <w:sz w:val="24"/>
              </w:rPr>
              <w:t>）的要求、但仍超过夜间</w:t>
            </w:r>
            <w:r>
              <w:rPr>
                <w:color w:val="auto"/>
                <w:sz w:val="24"/>
              </w:rPr>
              <w:t>55dB</w:t>
            </w:r>
            <w:r>
              <w:rPr>
                <w:rFonts w:hint="eastAsia"/>
                <w:color w:val="auto"/>
                <w:sz w:val="24"/>
              </w:rPr>
              <w:t>（</w:t>
            </w:r>
            <w:r>
              <w:rPr>
                <w:color w:val="auto"/>
                <w:sz w:val="24"/>
              </w:rPr>
              <w:t>A</w:t>
            </w:r>
            <w:r>
              <w:rPr>
                <w:rFonts w:hint="eastAsia"/>
                <w:color w:val="auto"/>
                <w:sz w:val="24"/>
              </w:rPr>
              <w:t>）的要求。根据现场踏勘，场界西侧有一户居民，距离本项目最近距离约</w:t>
            </w:r>
            <w:r>
              <w:rPr>
                <w:color w:val="auto"/>
                <w:sz w:val="24"/>
              </w:rPr>
              <w:t>60m</w:t>
            </w:r>
            <w:r>
              <w:rPr>
                <w:rFonts w:hint="eastAsia"/>
                <w:color w:val="auto"/>
                <w:sz w:val="24"/>
              </w:rPr>
              <w:t>，本环评要求变电站产生环境噪声污染的施工作业只在昼间进行，且尽量远离西场界，如因工艺要求必须夜间施工且产生环境噪声污染时，则应取得相关部门同意。</w:t>
            </w:r>
          </w:p>
          <w:p>
            <w:pPr>
              <w:adjustRightInd w:val="0"/>
              <w:snapToGrid w:val="0"/>
              <w:spacing w:line="360" w:lineRule="auto"/>
              <w:ind w:firstLine="480" w:firstLineChars="200"/>
              <w:rPr>
                <w:color w:val="auto"/>
                <w:sz w:val="24"/>
              </w:rPr>
            </w:pPr>
            <w:r>
              <w:rPr>
                <w:rFonts w:hint="eastAsia"/>
                <w:color w:val="auto"/>
                <w:sz w:val="24"/>
              </w:rPr>
              <w:t>施工期噪声影响具有暂时性，随着施工活动结束，施工噪声影响也就随之消除。</w:t>
            </w:r>
          </w:p>
          <w:p>
            <w:pPr>
              <w:adjustRightInd w:val="0"/>
              <w:snapToGrid w:val="0"/>
              <w:spacing w:line="360" w:lineRule="auto"/>
              <w:jc w:val="left"/>
              <w:rPr>
                <w:b/>
                <w:color w:val="auto"/>
                <w:sz w:val="24"/>
              </w:rPr>
            </w:pPr>
            <w:r>
              <w:rPr>
                <w:b/>
                <w:color w:val="auto"/>
                <w:sz w:val="24"/>
              </w:rPr>
              <w:t xml:space="preserve">7.1.1.4 </w:t>
            </w:r>
            <w:r>
              <w:rPr>
                <w:rFonts w:hint="eastAsia"/>
                <w:b/>
                <w:color w:val="auto"/>
                <w:sz w:val="24"/>
              </w:rPr>
              <w:t>拟采取的环保措施</w:t>
            </w:r>
          </w:p>
          <w:p>
            <w:pPr>
              <w:tabs>
                <w:tab w:val="left" w:pos="720"/>
              </w:tabs>
              <w:adjustRightInd w:val="0"/>
              <w:snapToGrid w:val="0"/>
              <w:spacing w:line="360" w:lineRule="auto"/>
              <w:ind w:firstLine="480" w:firstLineChars="200"/>
              <w:jc w:val="left"/>
              <w:rPr>
                <w:color w:val="auto"/>
                <w:sz w:val="24"/>
              </w:rPr>
            </w:pPr>
            <w:r>
              <w:rPr>
                <w:rFonts w:hint="eastAsia"/>
                <w:color w:val="auto"/>
                <w:sz w:val="24"/>
              </w:rPr>
              <w:t>为减小工程施工期噪声对周围环境的影响，本环评要求施工单位采取如下施工期噪声防治措施：</w:t>
            </w:r>
          </w:p>
          <w:p>
            <w:pPr>
              <w:tabs>
                <w:tab w:val="left" w:pos="720"/>
              </w:tabs>
              <w:adjustRightInd w:val="0"/>
              <w:snapToGrid w:val="0"/>
              <w:spacing w:line="360" w:lineRule="auto"/>
              <w:ind w:firstLine="480" w:firstLineChars="200"/>
              <w:jc w:val="left"/>
              <w:rPr>
                <w:color w:val="auto"/>
                <w:sz w:val="24"/>
              </w:rPr>
            </w:pPr>
            <w:r>
              <w:rPr>
                <w:rFonts w:hint="eastAsia"/>
                <w:color w:val="auto"/>
                <w:sz w:val="24"/>
              </w:rPr>
              <w:t>（</w:t>
            </w:r>
            <w:r>
              <w:rPr>
                <w:color w:val="auto"/>
                <w:sz w:val="24"/>
              </w:rPr>
              <w:t>1</w:t>
            </w:r>
            <w:r>
              <w:rPr>
                <w:rFonts w:hint="eastAsia"/>
                <w:color w:val="auto"/>
                <w:sz w:val="24"/>
              </w:rPr>
              <w:t>）要求施工单位文明施工，加强施工期的环境管理和环境监控工作，并接受环境保护部门的监督管理。</w:t>
            </w:r>
          </w:p>
          <w:p>
            <w:pPr>
              <w:tabs>
                <w:tab w:val="left" w:pos="720"/>
              </w:tabs>
              <w:adjustRightInd w:val="0"/>
              <w:snapToGrid w:val="0"/>
              <w:spacing w:line="360" w:lineRule="auto"/>
              <w:ind w:firstLine="480" w:firstLineChars="200"/>
              <w:jc w:val="left"/>
              <w:rPr>
                <w:color w:val="auto"/>
                <w:spacing w:val="-2"/>
                <w:sz w:val="24"/>
              </w:rPr>
            </w:pPr>
            <w:r>
              <w:rPr>
                <w:rFonts w:hint="eastAsia"/>
                <w:color w:val="auto"/>
                <w:sz w:val="24"/>
              </w:rPr>
              <w:t>（</w:t>
            </w:r>
            <w:r>
              <w:rPr>
                <w:color w:val="auto"/>
                <w:spacing w:val="-2"/>
                <w:sz w:val="24"/>
              </w:rPr>
              <w:t>2</w:t>
            </w:r>
            <w:r>
              <w:rPr>
                <w:rFonts w:hint="eastAsia"/>
                <w:color w:val="auto"/>
                <w:spacing w:val="-2"/>
                <w:sz w:val="24"/>
              </w:rPr>
              <w:t>）施工单位应采用噪声水平满足国家相应标准的施工机械设备。</w:t>
            </w:r>
          </w:p>
          <w:p>
            <w:pPr>
              <w:adjustRightInd w:val="0"/>
              <w:snapToGrid w:val="0"/>
              <w:spacing w:line="360" w:lineRule="auto"/>
              <w:ind w:firstLine="480" w:firstLineChars="200"/>
              <w:rPr>
                <w:color w:val="auto"/>
                <w:sz w:val="24"/>
              </w:rPr>
            </w:pPr>
            <w:r>
              <w:rPr>
                <w:rFonts w:hint="eastAsia"/>
                <w:color w:val="auto"/>
                <w:sz w:val="24"/>
              </w:rPr>
              <w:t>（</w:t>
            </w:r>
            <w:r>
              <w:rPr>
                <w:color w:val="auto"/>
                <w:sz w:val="24"/>
              </w:rPr>
              <w:t>3</w:t>
            </w:r>
            <w:r>
              <w:rPr>
                <w:rFonts w:hint="eastAsia"/>
                <w:color w:val="auto"/>
                <w:sz w:val="24"/>
              </w:rPr>
              <w:t>）依法限制夜间施工，如因工艺特殊要求，需在夜间施工而产生环境噪声影响时，应按《中华人民共和国环境噪声污染防治法》的规定提前取得区县级以上人民政府或者其有生态环境部门的许可，同时在夜间施工时禁止使用产生较大噪声的机械设备，并禁止夜间打桩作业。</w:t>
            </w:r>
          </w:p>
          <w:p>
            <w:pPr>
              <w:adjustRightInd w:val="0"/>
              <w:snapToGrid w:val="0"/>
              <w:spacing w:line="360" w:lineRule="auto"/>
              <w:jc w:val="left"/>
              <w:rPr>
                <w:b/>
                <w:color w:val="auto"/>
                <w:sz w:val="24"/>
              </w:rPr>
            </w:pPr>
            <w:r>
              <w:rPr>
                <w:b/>
                <w:color w:val="auto"/>
                <w:sz w:val="24"/>
              </w:rPr>
              <w:t>7.1.2</w:t>
            </w:r>
            <w:r>
              <w:rPr>
                <w:rFonts w:hint="eastAsia"/>
                <w:b/>
                <w:color w:val="auto"/>
                <w:sz w:val="24"/>
              </w:rPr>
              <w:t>施工期环境空气影响分析</w:t>
            </w:r>
          </w:p>
          <w:p>
            <w:pPr>
              <w:adjustRightInd w:val="0"/>
              <w:snapToGrid w:val="0"/>
              <w:spacing w:line="360" w:lineRule="auto"/>
              <w:jc w:val="left"/>
              <w:rPr>
                <w:b/>
                <w:color w:val="auto"/>
                <w:sz w:val="24"/>
              </w:rPr>
            </w:pPr>
            <w:r>
              <w:rPr>
                <w:b/>
                <w:color w:val="auto"/>
                <w:sz w:val="24"/>
              </w:rPr>
              <w:t>7.1.2.1</w:t>
            </w:r>
            <w:r>
              <w:rPr>
                <w:rFonts w:hint="eastAsia"/>
                <w:b/>
                <w:color w:val="auto"/>
                <w:sz w:val="24"/>
              </w:rPr>
              <w:t>环境空气污染源</w:t>
            </w:r>
          </w:p>
          <w:p>
            <w:pPr>
              <w:adjustRightInd w:val="0"/>
              <w:snapToGrid w:val="0"/>
              <w:spacing w:line="360" w:lineRule="auto"/>
              <w:ind w:firstLine="480" w:firstLineChars="200"/>
              <w:rPr>
                <w:color w:val="auto"/>
                <w:sz w:val="24"/>
              </w:rPr>
            </w:pPr>
            <w:r>
              <w:rPr>
                <w:rFonts w:hint="eastAsia"/>
                <w:color w:val="auto"/>
                <w:sz w:val="24"/>
              </w:rPr>
              <w:t>空气污染源主要是施工扬尘，施工扬尘主要来自变电站的基础开挖，变电站基础开挖，土建施工的场地平整等土石方工程、设备材料的运输装卸、施工现场内车辆行驶时道路扬尘等。由于扬尘源多且分散，源高一般在</w:t>
            </w:r>
            <w:r>
              <w:rPr>
                <w:color w:val="auto"/>
                <w:sz w:val="24"/>
              </w:rPr>
              <w:t>1.5m</w:t>
            </w:r>
            <w:r>
              <w:rPr>
                <w:rFonts w:hint="eastAsia"/>
                <w:color w:val="auto"/>
                <w:sz w:val="24"/>
              </w:rPr>
              <w:t>以下，属无组织排放。受施工方式、设备、气候等因素制约，产生的随机性和波动性较大。</w:t>
            </w:r>
          </w:p>
          <w:p>
            <w:pPr>
              <w:adjustRightInd w:val="0"/>
              <w:snapToGrid w:val="0"/>
              <w:spacing w:line="360" w:lineRule="auto"/>
              <w:ind w:firstLine="480" w:firstLineChars="200"/>
              <w:rPr>
                <w:color w:val="auto"/>
                <w:sz w:val="24"/>
              </w:rPr>
            </w:pPr>
            <w:r>
              <w:rPr>
                <w:rFonts w:hint="eastAsia"/>
                <w:color w:val="auto"/>
                <w:sz w:val="24"/>
              </w:rPr>
              <w:t>施工阶段的扬尘污染主要集中在施工初期，变电站的基础开挖和土石方运输都会产生扬尘污染，特别是若遇久旱无雨的大风天气，扬尘污染更为突出。施工开挖、车辆运输等产生的粉尘短期内将使局部区域内空气中的总悬浮颗粒物</w:t>
            </w:r>
            <w:r>
              <w:rPr>
                <w:color w:val="auto"/>
                <w:sz w:val="24"/>
              </w:rPr>
              <w:t>(TSP)</w:t>
            </w:r>
            <w:r>
              <w:rPr>
                <w:rFonts w:hint="eastAsia"/>
                <w:color w:val="auto"/>
                <w:sz w:val="24"/>
              </w:rPr>
              <w:t>明显增加。</w:t>
            </w:r>
          </w:p>
          <w:p>
            <w:pPr>
              <w:adjustRightInd w:val="0"/>
              <w:snapToGrid w:val="0"/>
              <w:spacing w:line="360" w:lineRule="auto"/>
              <w:jc w:val="left"/>
              <w:rPr>
                <w:b/>
                <w:color w:val="auto"/>
                <w:sz w:val="24"/>
              </w:rPr>
            </w:pPr>
            <w:r>
              <w:rPr>
                <w:b/>
                <w:color w:val="auto"/>
                <w:sz w:val="24"/>
              </w:rPr>
              <w:t>7.1.2.2</w:t>
            </w:r>
            <w:r>
              <w:rPr>
                <w:rFonts w:hint="eastAsia"/>
                <w:b/>
                <w:color w:val="auto"/>
                <w:sz w:val="24"/>
              </w:rPr>
              <w:t>环境敏感目标</w:t>
            </w:r>
          </w:p>
          <w:p>
            <w:pPr>
              <w:adjustRightInd w:val="0"/>
              <w:snapToGrid w:val="0"/>
              <w:spacing w:line="360" w:lineRule="auto"/>
              <w:ind w:firstLine="480" w:firstLineChars="200"/>
              <w:jc w:val="left"/>
              <w:outlineLvl w:val="1"/>
              <w:rPr>
                <w:color w:val="auto"/>
                <w:sz w:val="24"/>
              </w:rPr>
            </w:pPr>
            <w:r>
              <w:rPr>
                <w:rFonts w:hint="eastAsia"/>
                <w:color w:val="auto"/>
                <w:sz w:val="24"/>
              </w:rPr>
              <w:t>经现场调查，本工程西面约</w:t>
            </w:r>
            <w:r>
              <w:rPr>
                <w:color w:val="auto"/>
                <w:sz w:val="24"/>
              </w:rPr>
              <w:t>130m-200m</w:t>
            </w:r>
            <w:r>
              <w:rPr>
                <w:rFonts w:hint="eastAsia"/>
                <w:color w:val="auto"/>
                <w:sz w:val="24"/>
              </w:rPr>
              <w:t>处为杨家将村零星居民，约有</w:t>
            </w:r>
            <w:r>
              <w:rPr>
                <w:color w:val="auto"/>
                <w:sz w:val="24"/>
              </w:rPr>
              <w:t>3</w:t>
            </w:r>
            <w:r>
              <w:rPr>
                <w:rFonts w:hint="eastAsia"/>
                <w:color w:val="auto"/>
                <w:sz w:val="24"/>
              </w:rPr>
              <w:t>户。</w:t>
            </w:r>
          </w:p>
          <w:p>
            <w:pPr>
              <w:adjustRightInd w:val="0"/>
              <w:snapToGrid w:val="0"/>
              <w:spacing w:line="360" w:lineRule="auto"/>
              <w:jc w:val="left"/>
              <w:rPr>
                <w:b/>
                <w:color w:val="auto"/>
                <w:sz w:val="24"/>
              </w:rPr>
            </w:pPr>
            <w:r>
              <w:rPr>
                <w:b/>
                <w:color w:val="auto"/>
                <w:sz w:val="24"/>
              </w:rPr>
              <w:t>7.1.2.3</w:t>
            </w:r>
            <w:r>
              <w:rPr>
                <w:rFonts w:hint="eastAsia"/>
                <w:b/>
                <w:color w:val="auto"/>
                <w:sz w:val="24"/>
              </w:rPr>
              <w:t>施工扬尘影响分析</w:t>
            </w:r>
          </w:p>
          <w:p>
            <w:pPr>
              <w:adjustRightInd w:val="0"/>
              <w:snapToGrid w:val="0"/>
              <w:spacing w:line="360" w:lineRule="auto"/>
              <w:ind w:firstLine="480" w:firstLineChars="200"/>
              <w:rPr>
                <w:color w:val="auto"/>
                <w:sz w:val="24"/>
              </w:rPr>
            </w:pPr>
            <w:r>
              <w:rPr>
                <w:rFonts w:hint="eastAsia"/>
                <w:color w:val="auto"/>
                <w:sz w:val="24"/>
              </w:rPr>
              <w:t>新建储能变电站工程，施工时由于土方的开挖造成植被破坏与土地裸露，产生局部二次扬尘，可能对周围</w:t>
            </w:r>
            <w:r>
              <w:rPr>
                <w:color w:val="auto"/>
                <w:sz w:val="24"/>
              </w:rPr>
              <w:t>50m</w:t>
            </w:r>
            <w:r>
              <w:rPr>
                <w:rFonts w:hint="eastAsia"/>
                <w:color w:val="auto"/>
                <w:sz w:val="24"/>
              </w:rPr>
              <w:t>以内的局部地区产生暂时影响，但施工扬尘的影响是短时间的，在土建工程结束后即可恢复。此外，在建设期间，大件设备及其他设备材料的运输，可能会使所经道路产生扬尘问题，但该扬尘问题只是暂时的和流动的，当建设期结束，此问题亦会消失。对建设过程中及周边道路的施工扬尘采取了设备覆盖、撒水降尘等环境保护措施后，对附近区域环境空气质量不会造成长期影响。</w:t>
            </w:r>
          </w:p>
          <w:p>
            <w:pPr>
              <w:adjustRightInd w:val="0"/>
              <w:snapToGrid w:val="0"/>
              <w:spacing w:line="360" w:lineRule="auto"/>
              <w:jc w:val="left"/>
              <w:outlineLvl w:val="1"/>
              <w:rPr>
                <w:b/>
                <w:color w:val="auto"/>
                <w:sz w:val="24"/>
              </w:rPr>
            </w:pPr>
            <w:r>
              <w:rPr>
                <w:b/>
                <w:color w:val="auto"/>
                <w:sz w:val="24"/>
              </w:rPr>
              <w:t>7.1.2.4</w:t>
            </w:r>
            <w:r>
              <w:rPr>
                <w:rFonts w:hint="eastAsia"/>
                <w:b/>
                <w:color w:val="auto"/>
                <w:sz w:val="24"/>
              </w:rPr>
              <w:t>拟采取的环保措施</w:t>
            </w:r>
          </w:p>
          <w:p>
            <w:pPr>
              <w:adjustRightInd w:val="0"/>
              <w:snapToGrid w:val="0"/>
              <w:spacing w:line="360" w:lineRule="auto"/>
              <w:ind w:firstLine="480" w:firstLineChars="200"/>
              <w:outlineLvl w:val="1"/>
              <w:rPr>
                <w:color w:val="auto"/>
                <w:sz w:val="24"/>
                <w:szCs w:val="24"/>
              </w:rPr>
            </w:pPr>
            <w:r>
              <w:rPr>
                <w:rFonts w:hint="eastAsia"/>
                <w:color w:val="auto"/>
                <w:sz w:val="24"/>
                <w:szCs w:val="24"/>
              </w:rPr>
              <w:t>各类施工工地需严格落实扬尘防治措施，重点落实如下要求</w:t>
            </w:r>
            <w:r>
              <w:rPr>
                <w:color w:val="auto"/>
                <w:sz w:val="24"/>
                <w:szCs w:val="24"/>
              </w:rPr>
              <w:t>:</w:t>
            </w:r>
          </w:p>
          <w:p>
            <w:pPr>
              <w:snapToGrid w:val="0"/>
              <w:spacing w:line="360" w:lineRule="auto"/>
              <w:ind w:firstLine="480" w:firstLineChars="200"/>
              <w:outlineLvl w:val="1"/>
              <w:rPr>
                <w:color w:val="auto"/>
                <w:sz w:val="24"/>
                <w:szCs w:val="24"/>
              </w:rPr>
            </w:pPr>
            <w:r>
              <w:rPr>
                <w:rFonts w:hint="eastAsia"/>
                <w:color w:val="auto"/>
                <w:sz w:val="24"/>
                <w:szCs w:val="24"/>
              </w:rPr>
              <w:t>（</w:t>
            </w:r>
            <w:r>
              <w:rPr>
                <w:color w:val="auto"/>
                <w:sz w:val="24"/>
                <w:szCs w:val="24"/>
              </w:rPr>
              <w:t>1</w:t>
            </w:r>
            <w:r>
              <w:rPr>
                <w:rFonts w:hint="eastAsia"/>
                <w:color w:val="auto"/>
                <w:sz w:val="24"/>
                <w:szCs w:val="24"/>
              </w:rPr>
              <w:t>）施工工地</w:t>
            </w:r>
            <w:r>
              <w:rPr>
                <w:color w:val="auto"/>
                <w:sz w:val="24"/>
                <w:szCs w:val="24"/>
              </w:rPr>
              <w:t>100%</w:t>
            </w:r>
            <w:r>
              <w:rPr>
                <w:rFonts w:hint="eastAsia"/>
                <w:color w:val="auto"/>
                <w:sz w:val="24"/>
                <w:szCs w:val="24"/>
              </w:rPr>
              <w:t>围挡：施工工地应按要求设置围挡，城区主要路段的工地应设置高度不小于</w:t>
            </w:r>
            <w:r>
              <w:rPr>
                <w:color w:val="auto"/>
                <w:sz w:val="24"/>
                <w:szCs w:val="24"/>
              </w:rPr>
              <w:t>2.5</w:t>
            </w:r>
            <w:r>
              <w:rPr>
                <w:rFonts w:hint="eastAsia"/>
                <w:color w:val="auto"/>
                <w:sz w:val="24"/>
                <w:szCs w:val="24"/>
              </w:rPr>
              <w:t>米的封闭围挡，一般路段的工地应设置高度不小于</w:t>
            </w:r>
            <w:r>
              <w:rPr>
                <w:color w:val="auto"/>
                <w:sz w:val="24"/>
                <w:szCs w:val="24"/>
              </w:rPr>
              <w:t>1.8</w:t>
            </w:r>
            <w:r>
              <w:rPr>
                <w:rFonts w:hint="eastAsia"/>
                <w:color w:val="auto"/>
                <w:sz w:val="24"/>
                <w:szCs w:val="24"/>
              </w:rPr>
              <w:t>米的封闭围挡，围挡应坚固、稳定、整洁、美观。</w:t>
            </w:r>
          </w:p>
          <w:p>
            <w:pPr>
              <w:snapToGrid w:val="0"/>
              <w:spacing w:line="360" w:lineRule="auto"/>
              <w:ind w:firstLine="480" w:firstLineChars="200"/>
              <w:outlineLvl w:val="1"/>
              <w:rPr>
                <w:color w:val="auto"/>
                <w:sz w:val="24"/>
                <w:szCs w:val="24"/>
              </w:rPr>
            </w:pPr>
            <w:r>
              <w:rPr>
                <w:rFonts w:hint="eastAsia"/>
                <w:color w:val="auto"/>
                <w:sz w:val="24"/>
                <w:szCs w:val="24"/>
              </w:rPr>
              <w:t>（</w:t>
            </w:r>
            <w:r>
              <w:rPr>
                <w:color w:val="auto"/>
                <w:sz w:val="24"/>
                <w:szCs w:val="24"/>
              </w:rPr>
              <w:t>2</w:t>
            </w:r>
            <w:r>
              <w:rPr>
                <w:rFonts w:hint="eastAsia"/>
                <w:color w:val="auto"/>
                <w:sz w:val="24"/>
                <w:szCs w:val="24"/>
              </w:rPr>
              <w:t>）裸土及物料堆放：</w:t>
            </w:r>
            <w:r>
              <w:rPr>
                <w:color w:val="auto"/>
                <w:sz w:val="24"/>
                <w:szCs w:val="24"/>
              </w:rPr>
              <w:t>100%</w:t>
            </w:r>
            <w:r>
              <w:rPr>
                <w:rFonts w:hint="eastAsia"/>
                <w:color w:val="auto"/>
                <w:sz w:val="24"/>
                <w:szCs w:val="24"/>
              </w:rPr>
              <w:t>覆盖</w:t>
            </w:r>
            <w:r>
              <w:rPr>
                <w:color w:val="auto"/>
                <w:sz w:val="24"/>
                <w:szCs w:val="24"/>
              </w:rPr>
              <w:t>:</w:t>
            </w:r>
            <w:r>
              <w:rPr>
                <w:rFonts w:hint="eastAsia"/>
                <w:color w:val="auto"/>
                <w:sz w:val="24"/>
                <w:szCs w:val="24"/>
              </w:rPr>
              <w:t>施工现场内易产生扬尘的散体材料、粉尘材料必须进行覆盖</w:t>
            </w:r>
            <w:r>
              <w:rPr>
                <w:color w:val="auto"/>
                <w:sz w:val="24"/>
                <w:szCs w:val="24"/>
              </w:rPr>
              <w:t>;</w:t>
            </w:r>
            <w:r>
              <w:rPr>
                <w:rFonts w:hint="eastAsia"/>
                <w:color w:val="auto"/>
                <w:sz w:val="24"/>
                <w:szCs w:val="24"/>
              </w:rPr>
              <w:t>裸露时间达</w:t>
            </w:r>
            <w:r>
              <w:rPr>
                <w:color w:val="auto"/>
                <w:sz w:val="24"/>
                <w:szCs w:val="24"/>
              </w:rPr>
              <w:t>48</w:t>
            </w:r>
            <w:r>
              <w:rPr>
                <w:rFonts w:hint="eastAsia"/>
                <w:color w:val="auto"/>
                <w:sz w:val="24"/>
                <w:szCs w:val="24"/>
              </w:rPr>
              <w:t>小时以上的作业面裸土场地必须覆盖</w:t>
            </w:r>
            <w:r>
              <w:rPr>
                <w:color w:val="auto"/>
                <w:sz w:val="24"/>
                <w:szCs w:val="24"/>
              </w:rPr>
              <w:t>;</w:t>
            </w:r>
            <w:r>
              <w:rPr>
                <w:rFonts w:hint="eastAsia"/>
                <w:color w:val="auto"/>
                <w:sz w:val="24"/>
                <w:szCs w:val="24"/>
              </w:rPr>
              <w:t>非作业面裸土场地三个月以上必须进行覆盖或绿化</w:t>
            </w:r>
            <w:r>
              <w:rPr>
                <w:color w:val="auto"/>
                <w:sz w:val="24"/>
                <w:szCs w:val="24"/>
              </w:rPr>
              <w:t>;</w:t>
            </w:r>
            <w:r>
              <w:rPr>
                <w:rFonts w:hint="eastAsia"/>
                <w:color w:val="auto"/>
                <w:sz w:val="24"/>
                <w:szCs w:val="24"/>
              </w:rPr>
              <w:t>施工现场的建筑垃圾清理成堆后应及时清运出场，</w:t>
            </w:r>
            <w:r>
              <w:rPr>
                <w:color w:val="auto"/>
                <w:sz w:val="24"/>
                <w:szCs w:val="24"/>
              </w:rPr>
              <w:t>48</w:t>
            </w:r>
            <w:r>
              <w:rPr>
                <w:rFonts w:hint="eastAsia"/>
                <w:color w:val="auto"/>
                <w:sz w:val="24"/>
                <w:szCs w:val="24"/>
              </w:rPr>
              <w:t>小时以上不能及时清运出场的必须进行覆盖。</w:t>
            </w:r>
          </w:p>
          <w:p>
            <w:pPr>
              <w:snapToGrid w:val="0"/>
              <w:spacing w:line="360" w:lineRule="auto"/>
              <w:ind w:firstLine="480" w:firstLineChars="200"/>
              <w:outlineLvl w:val="1"/>
              <w:rPr>
                <w:color w:val="auto"/>
                <w:sz w:val="24"/>
                <w:szCs w:val="24"/>
              </w:rPr>
            </w:pPr>
            <w:r>
              <w:rPr>
                <w:rFonts w:hint="eastAsia"/>
                <w:color w:val="auto"/>
                <w:sz w:val="24"/>
                <w:szCs w:val="24"/>
              </w:rPr>
              <w:t>（</w:t>
            </w:r>
            <w:r>
              <w:rPr>
                <w:color w:val="auto"/>
                <w:sz w:val="24"/>
                <w:szCs w:val="24"/>
              </w:rPr>
              <w:t>3</w:t>
            </w:r>
            <w:r>
              <w:rPr>
                <w:rFonts w:hint="eastAsia"/>
                <w:color w:val="auto"/>
                <w:sz w:val="24"/>
                <w:szCs w:val="24"/>
              </w:rPr>
              <w:t>）施工现场路面</w:t>
            </w:r>
            <w:r>
              <w:rPr>
                <w:color w:val="auto"/>
                <w:sz w:val="24"/>
                <w:szCs w:val="24"/>
              </w:rPr>
              <w:t>100%</w:t>
            </w:r>
            <w:r>
              <w:rPr>
                <w:rFonts w:hint="eastAsia"/>
                <w:color w:val="auto"/>
                <w:sz w:val="24"/>
                <w:szCs w:val="24"/>
              </w:rPr>
              <w:t>硬化：施工现场主要道路应进行硬化处理，并确保定时洒水，确保场内道路无扬尘。</w:t>
            </w:r>
          </w:p>
          <w:p>
            <w:pPr>
              <w:snapToGrid w:val="0"/>
              <w:spacing w:line="360" w:lineRule="auto"/>
              <w:ind w:firstLine="480" w:firstLineChars="200"/>
              <w:outlineLvl w:val="1"/>
              <w:rPr>
                <w:color w:val="auto"/>
                <w:sz w:val="24"/>
                <w:szCs w:val="24"/>
              </w:rPr>
            </w:pPr>
            <w:r>
              <w:rPr>
                <w:rFonts w:hint="eastAsia"/>
                <w:color w:val="auto"/>
                <w:sz w:val="24"/>
                <w:szCs w:val="24"/>
              </w:rPr>
              <w:t>（</w:t>
            </w:r>
            <w:r>
              <w:rPr>
                <w:color w:val="auto"/>
                <w:sz w:val="24"/>
                <w:szCs w:val="24"/>
              </w:rPr>
              <w:t>4</w:t>
            </w:r>
            <w:r>
              <w:rPr>
                <w:rFonts w:hint="eastAsia"/>
                <w:color w:val="auto"/>
                <w:sz w:val="24"/>
                <w:szCs w:val="24"/>
              </w:rPr>
              <w:t>）驶出工地车辆</w:t>
            </w:r>
            <w:r>
              <w:rPr>
                <w:color w:val="auto"/>
                <w:sz w:val="24"/>
                <w:szCs w:val="24"/>
              </w:rPr>
              <w:t>100%</w:t>
            </w:r>
            <w:r>
              <w:rPr>
                <w:rFonts w:hint="eastAsia"/>
                <w:color w:val="auto"/>
                <w:sz w:val="24"/>
                <w:szCs w:val="24"/>
              </w:rPr>
              <w:t>冲洗：施工现场主要出入口处应设置洗车平台，配置车辆冲洗装置，驶出施工现场的机动车辆应冲洗干净后方可上路行驶。</w:t>
            </w:r>
          </w:p>
          <w:p>
            <w:pPr>
              <w:snapToGrid w:val="0"/>
              <w:spacing w:line="360" w:lineRule="auto"/>
              <w:ind w:firstLine="480" w:firstLineChars="200"/>
              <w:outlineLvl w:val="1"/>
              <w:rPr>
                <w:color w:val="auto"/>
                <w:sz w:val="24"/>
                <w:szCs w:val="24"/>
              </w:rPr>
            </w:pPr>
            <w:r>
              <w:rPr>
                <w:rFonts w:hint="eastAsia"/>
                <w:color w:val="auto"/>
                <w:sz w:val="24"/>
                <w:szCs w:val="24"/>
              </w:rPr>
              <w:t>（</w:t>
            </w:r>
            <w:r>
              <w:rPr>
                <w:color w:val="auto"/>
                <w:sz w:val="24"/>
                <w:szCs w:val="24"/>
              </w:rPr>
              <w:t>5</w:t>
            </w:r>
            <w:r>
              <w:rPr>
                <w:rFonts w:hint="eastAsia"/>
                <w:color w:val="auto"/>
                <w:sz w:val="24"/>
                <w:szCs w:val="24"/>
              </w:rPr>
              <w:t>）征拆工地</w:t>
            </w:r>
            <w:r>
              <w:rPr>
                <w:color w:val="auto"/>
                <w:sz w:val="24"/>
                <w:szCs w:val="24"/>
              </w:rPr>
              <w:t>100%</w:t>
            </w:r>
            <w:r>
              <w:rPr>
                <w:rFonts w:hint="eastAsia"/>
                <w:color w:val="auto"/>
                <w:sz w:val="24"/>
                <w:szCs w:val="24"/>
              </w:rPr>
              <w:t>湿法作业：土石方、拆除工程作业时应在作业面采取雾炮、喷淋、洒水等降尘措施</w:t>
            </w:r>
            <w:r>
              <w:rPr>
                <w:color w:val="auto"/>
                <w:sz w:val="24"/>
                <w:szCs w:val="24"/>
              </w:rPr>
              <w:t>;</w:t>
            </w:r>
            <w:r>
              <w:rPr>
                <w:rFonts w:hint="eastAsia"/>
                <w:color w:val="auto"/>
                <w:sz w:val="24"/>
                <w:szCs w:val="24"/>
              </w:rPr>
              <w:t>遇到</w:t>
            </w:r>
            <w:r>
              <w:rPr>
                <w:color w:val="auto"/>
                <w:sz w:val="24"/>
                <w:szCs w:val="24"/>
              </w:rPr>
              <w:t>5</w:t>
            </w:r>
            <w:r>
              <w:rPr>
                <w:rFonts w:hint="eastAsia"/>
                <w:color w:val="auto"/>
                <w:sz w:val="24"/>
                <w:szCs w:val="24"/>
              </w:rPr>
              <w:t>级及以上大风或环境空气质量达到重度污染的天气时，施工现场应停止土石方、拆除作业活动。</w:t>
            </w:r>
          </w:p>
          <w:p>
            <w:pPr>
              <w:snapToGrid w:val="0"/>
              <w:spacing w:line="360" w:lineRule="auto"/>
              <w:ind w:firstLine="480" w:firstLineChars="200"/>
              <w:outlineLvl w:val="1"/>
              <w:rPr>
                <w:color w:val="auto"/>
                <w:sz w:val="24"/>
                <w:szCs w:val="24"/>
              </w:rPr>
            </w:pPr>
            <w:r>
              <w:rPr>
                <w:rFonts w:hint="eastAsia"/>
                <w:color w:val="auto"/>
                <w:sz w:val="24"/>
                <w:szCs w:val="24"/>
              </w:rPr>
              <w:t>（</w:t>
            </w:r>
            <w:r>
              <w:rPr>
                <w:color w:val="auto"/>
                <w:sz w:val="24"/>
                <w:szCs w:val="24"/>
              </w:rPr>
              <w:t>6</w:t>
            </w:r>
            <w:r>
              <w:rPr>
                <w:rFonts w:hint="eastAsia"/>
                <w:color w:val="auto"/>
                <w:sz w:val="24"/>
                <w:szCs w:val="24"/>
              </w:rPr>
              <w:t>）场地平整、土石方施工工地采用洒水、碾压、覆盖、绿化、硬化相结合的扬尘防治措施。土方开挖、装运施工时应采取洒水、喷淋等降尘措施，土方开挖形成的基坑及边坡裸露土面应及时进行支护和表面喷浆固化处理，未能及时固化的，须采取喷淋和用防尘网进行覆盖。临时道路应及时清扫，采取洒水、喷淋、碾压等降尘措施，确保临时道路不扬尘。非开挖作业面裸土场地裸露时间超过</w:t>
            </w:r>
            <w:r>
              <w:rPr>
                <w:color w:val="auto"/>
                <w:sz w:val="24"/>
                <w:szCs w:val="24"/>
              </w:rPr>
              <w:t>48</w:t>
            </w:r>
            <w:r>
              <w:rPr>
                <w:rFonts w:hint="eastAsia"/>
                <w:color w:val="auto"/>
                <w:sz w:val="24"/>
                <w:szCs w:val="24"/>
              </w:rPr>
              <w:t>小时的，应采用防尘网进行覆盖或绿化。</w:t>
            </w:r>
          </w:p>
          <w:p>
            <w:pPr>
              <w:snapToGrid w:val="0"/>
              <w:spacing w:line="360" w:lineRule="auto"/>
              <w:ind w:firstLine="480" w:firstLineChars="200"/>
              <w:outlineLvl w:val="1"/>
              <w:rPr>
                <w:color w:val="auto"/>
                <w:sz w:val="24"/>
              </w:rPr>
            </w:pPr>
            <w:r>
              <w:rPr>
                <w:rFonts w:hint="eastAsia"/>
                <w:color w:val="auto"/>
                <w:sz w:val="24"/>
                <w:szCs w:val="24"/>
              </w:rPr>
              <w:t>（</w:t>
            </w:r>
            <w:r>
              <w:rPr>
                <w:color w:val="auto"/>
                <w:sz w:val="24"/>
                <w:szCs w:val="24"/>
              </w:rPr>
              <w:t>7</w:t>
            </w:r>
            <w:r>
              <w:rPr>
                <w:rFonts w:hint="eastAsia"/>
                <w:color w:val="auto"/>
                <w:sz w:val="24"/>
                <w:szCs w:val="24"/>
              </w:rPr>
              <w:t>）</w:t>
            </w:r>
            <w:r>
              <w:rPr>
                <w:rFonts w:hint="eastAsia"/>
                <w:color w:val="auto"/>
                <w:sz w:val="24"/>
              </w:rPr>
              <w:t>严格控制在施工现场拌制混凝土，选择购买商品混凝土和预拌混凝土。</w:t>
            </w:r>
          </w:p>
          <w:p>
            <w:pPr>
              <w:snapToGrid w:val="0"/>
              <w:spacing w:line="360" w:lineRule="auto"/>
              <w:ind w:firstLine="200"/>
              <w:rPr>
                <w:color w:val="auto"/>
                <w:sz w:val="24"/>
              </w:rPr>
            </w:pPr>
            <w:r>
              <w:rPr>
                <w:rFonts w:hint="eastAsia"/>
                <w:color w:val="auto"/>
                <w:sz w:val="24"/>
              </w:rPr>
              <w:t>施工期扬尘对环境的影响是暂时的，施工完成后影响也随即消失，通过加强施工管理，文明施工，并采取相应的措施治理和控制后，可将施工期对环境的影响降到最低程度。</w:t>
            </w:r>
          </w:p>
          <w:p>
            <w:pPr>
              <w:adjustRightInd w:val="0"/>
              <w:snapToGrid w:val="0"/>
              <w:spacing w:line="360" w:lineRule="auto"/>
              <w:jc w:val="left"/>
              <w:rPr>
                <w:b/>
                <w:color w:val="auto"/>
                <w:sz w:val="24"/>
              </w:rPr>
            </w:pPr>
            <w:r>
              <w:rPr>
                <w:b/>
                <w:color w:val="auto"/>
                <w:sz w:val="24"/>
              </w:rPr>
              <w:t>7.1.3</w:t>
            </w:r>
            <w:r>
              <w:rPr>
                <w:rFonts w:hint="eastAsia"/>
                <w:b/>
                <w:color w:val="auto"/>
                <w:sz w:val="24"/>
              </w:rPr>
              <w:t>施工废水环境影响分析</w:t>
            </w:r>
          </w:p>
          <w:p>
            <w:pPr>
              <w:adjustRightInd w:val="0"/>
              <w:snapToGrid w:val="0"/>
              <w:spacing w:line="360" w:lineRule="auto"/>
              <w:jc w:val="left"/>
              <w:rPr>
                <w:b/>
                <w:color w:val="auto"/>
                <w:sz w:val="24"/>
              </w:rPr>
            </w:pPr>
            <w:r>
              <w:rPr>
                <w:b/>
                <w:color w:val="auto"/>
                <w:sz w:val="24"/>
              </w:rPr>
              <w:t>7.1.3.1</w:t>
            </w:r>
            <w:r>
              <w:rPr>
                <w:rFonts w:hint="eastAsia"/>
                <w:b/>
                <w:color w:val="auto"/>
                <w:sz w:val="24"/>
              </w:rPr>
              <w:t>废水污染源</w:t>
            </w:r>
          </w:p>
          <w:p>
            <w:pPr>
              <w:adjustRightInd w:val="0"/>
              <w:snapToGrid w:val="0"/>
              <w:spacing w:line="360" w:lineRule="auto"/>
              <w:ind w:firstLine="480" w:firstLineChars="200"/>
              <w:rPr>
                <w:color w:val="auto"/>
                <w:sz w:val="24"/>
                <w:szCs w:val="24"/>
              </w:rPr>
            </w:pPr>
            <w:r>
              <w:rPr>
                <w:rFonts w:hint="eastAsia"/>
                <w:color w:val="auto"/>
                <w:sz w:val="24"/>
              </w:rPr>
              <w:t>本工程</w:t>
            </w:r>
            <w:r>
              <w:rPr>
                <w:rFonts w:hint="eastAsia"/>
                <w:color w:val="auto"/>
                <w:sz w:val="24"/>
                <w:szCs w:val="24"/>
              </w:rPr>
              <w:t>施工污水主要来自施工人员的生活污水和少量施工废水。</w:t>
            </w:r>
          </w:p>
          <w:p>
            <w:pPr>
              <w:adjustRightInd w:val="0"/>
              <w:snapToGrid w:val="0"/>
              <w:spacing w:line="360" w:lineRule="auto"/>
              <w:ind w:firstLine="480" w:firstLineChars="200"/>
              <w:rPr>
                <w:color w:val="auto"/>
                <w:sz w:val="24"/>
              </w:rPr>
            </w:pPr>
            <w:r>
              <w:rPr>
                <w:rFonts w:hint="eastAsia"/>
                <w:color w:val="auto"/>
                <w:sz w:val="24"/>
                <w:szCs w:val="24"/>
              </w:rPr>
              <w:t>本工程变电站施工期平均施工人员约</w:t>
            </w:r>
            <w:r>
              <w:rPr>
                <w:color w:val="auto"/>
                <w:sz w:val="24"/>
                <w:szCs w:val="24"/>
              </w:rPr>
              <w:t>25</w:t>
            </w:r>
            <w:r>
              <w:rPr>
                <w:rFonts w:hint="eastAsia"/>
                <w:color w:val="auto"/>
                <w:sz w:val="24"/>
                <w:szCs w:val="24"/>
              </w:rPr>
              <w:t>人，施工人员用水量约</w:t>
            </w:r>
            <w:r>
              <w:rPr>
                <w:color w:val="auto"/>
                <w:sz w:val="24"/>
                <w:szCs w:val="24"/>
              </w:rPr>
              <w:t>0.1m</w:t>
            </w:r>
            <w:r>
              <w:rPr>
                <w:color w:val="auto"/>
                <w:sz w:val="24"/>
                <w:szCs w:val="24"/>
                <w:vertAlign w:val="superscript"/>
              </w:rPr>
              <w:t>3</w:t>
            </w:r>
            <w:r>
              <w:rPr>
                <w:color w:val="auto"/>
                <w:sz w:val="24"/>
                <w:szCs w:val="24"/>
              </w:rPr>
              <w:t>/d</w:t>
            </w:r>
            <w:r>
              <w:rPr>
                <w:rFonts w:hint="eastAsia"/>
                <w:color w:val="auto"/>
                <w:sz w:val="24"/>
                <w:szCs w:val="24"/>
              </w:rPr>
              <w:t>人，生活污水产生量按总用水量的</w:t>
            </w:r>
            <w:r>
              <w:rPr>
                <w:color w:val="auto"/>
                <w:sz w:val="24"/>
                <w:szCs w:val="24"/>
              </w:rPr>
              <w:t>80%</w:t>
            </w:r>
            <w:r>
              <w:rPr>
                <w:rFonts w:hint="eastAsia"/>
                <w:color w:val="auto"/>
                <w:sz w:val="24"/>
                <w:szCs w:val="24"/>
              </w:rPr>
              <w:t>计，则生活污水的产生量约</w:t>
            </w:r>
            <w:r>
              <w:rPr>
                <w:color w:val="auto"/>
                <w:sz w:val="24"/>
                <w:szCs w:val="24"/>
              </w:rPr>
              <w:t>2m</w:t>
            </w:r>
            <w:r>
              <w:rPr>
                <w:color w:val="auto"/>
                <w:sz w:val="24"/>
                <w:szCs w:val="24"/>
                <w:vertAlign w:val="superscript"/>
              </w:rPr>
              <w:t>3</w:t>
            </w:r>
            <w:r>
              <w:rPr>
                <w:color w:val="auto"/>
                <w:sz w:val="24"/>
                <w:szCs w:val="24"/>
              </w:rPr>
              <w:t>/d</w:t>
            </w:r>
            <w:r>
              <w:rPr>
                <w:rFonts w:hint="eastAsia"/>
                <w:color w:val="auto"/>
                <w:sz w:val="24"/>
                <w:szCs w:val="24"/>
              </w:rPr>
              <w:t>。施工人员的少量生活污水依托租赁民房现有污水处理系统</w:t>
            </w:r>
            <w:r>
              <w:rPr>
                <w:rFonts w:hint="eastAsia"/>
                <w:color w:val="auto"/>
                <w:sz w:val="24"/>
              </w:rPr>
              <w:t>。</w:t>
            </w:r>
          </w:p>
          <w:p>
            <w:pPr>
              <w:adjustRightInd w:val="0"/>
              <w:snapToGrid w:val="0"/>
              <w:spacing w:line="360" w:lineRule="auto"/>
              <w:ind w:firstLine="480" w:firstLineChars="200"/>
              <w:rPr>
                <w:color w:val="auto"/>
                <w:sz w:val="24"/>
              </w:rPr>
            </w:pPr>
            <w:r>
              <w:rPr>
                <w:rFonts w:hint="eastAsia"/>
                <w:color w:val="auto"/>
                <w:sz w:val="24"/>
              </w:rPr>
              <w:t>本工程变电站施工废水主要包括雨水冲刷开挖土方及裸露场地，砂石料加工、施工机械和进出车辆的冲洗水。</w:t>
            </w:r>
          </w:p>
          <w:p>
            <w:pPr>
              <w:adjustRightInd w:val="0"/>
              <w:snapToGrid w:val="0"/>
              <w:spacing w:line="360" w:lineRule="auto"/>
              <w:jc w:val="left"/>
              <w:rPr>
                <w:b/>
                <w:color w:val="auto"/>
                <w:sz w:val="24"/>
              </w:rPr>
            </w:pPr>
            <w:r>
              <w:rPr>
                <w:b/>
                <w:color w:val="auto"/>
                <w:sz w:val="24"/>
              </w:rPr>
              <w:t>7.1.3.2</w:t>
            </w:r>
            <w:r>
              <w:rPr>
                <w:rFonts w:hint="eastAsia"/>
                <w:b/>
                <w:color w:val="auto"/>
                <w:sz w:val="24"/>
              </w:rPr>
              <w:t>废水影响分析</w:t>
            </w:r>
          </w:p>
          <w:p>
            <w:pPr>
              <w:adjustRightInd w:val="0"/>
              <w:snapToGrid w:val="0"/>
              <w:spacing w:line="360" w:lineRule="auto"/>
              <w:ind w:firstLine="480" w:firstLineChars="200"/>
              <w:jc w:val="left"/>
              <w:rPr>
                <w:color w:val="auto"/>
                <w:sz w:val="24"/>
              </w:rPr>
            </w:pPr>
            <w:r>
              <w:rPr>
                <w:rFonts w:hint="eastAsia"/>
                <w:color w:val="auto"/>
                <w:sz w:val="24"/>
              </w:rPr>
              <w:t>在严格落实相应保措施的基础上，施工过程中产生的废水不会对周围水环境产生不良影响。</w:t>
            </w:r>
          </w:p>
          <w:p>
            <w:pPr>
              <w:adjustRightInd w:val="0"/>
              <w:snapToGrid w:val="0"/>
              <w:spacing w:line="360" w:lineRule="auto"/>
              <w:jc w:val="left"/>
              <w:rPr>
                <w:b/>
                <w:color w:val="auto"/>
                <w:sz w:val="24"/>
              </w:rPr>
            </w:pPr>
            <w:r>
              <w:rPr>
                <w:b/>
                <w:color w:val="auto"/>
                <w:sz w:val="24"/>
              </w:rPr>
              <w:t>7.1.3.3</w:t>
            </w:r>
            <w:r>
              <w:rPr>
                <w:rFonts w:hint="eastAsia"/>
                <w:b/>
                <w:color w:val="auto"/>
                <w:sz w:val="24"/>
              </w:rPr>
              <w:t>拟采取的环境保护措施</w:t>
            </w:r>
          </w:p>
          <w:p>
            <w:pPr>
              <w:adjustRightInd w:val="0"/>
              <w:snapToGrid w:val="0"/>
              <w:spacing w:line="360" w:lineRule="auto"/>
              <w:ind w:firstLine="480" w:firstLineChars="200"/>
              <w:rPr>
                <w:color w:val="auto"/>
                <w:sz w:val="24"/>
              </w:rPr>
            </w:pPr>
            <w:r>
              <w:rPr>
                <w:rFonts w:hint="eastAsia"/>
                <w:color w:val="auto"/>
                <w:sz w:val="24"/>
              </w:rPr>
              <w:t>（</w:t>
            </w:r>
            <w:r>
              <w:rPr>
                <w:color w:val="auto"/>
                <w:sz w:val="24"/>
              </w:rPr>
              <w:t>1</w:t>
            </w:r>
            <w:r>
              <w:rPr>
                <w:rFonts w:hint="eastAsia"/>
                <w:color w:val="auto"/>
                <w:sz w:val="24"/>
              </w:rPr>
              <w:t>）新建储能变电站施工时，在施工区域布设临时污水处理设施，对施工过程中产生的施工废水及生活污水进行处理。</w:t>
            </w:r>
          </w:p>
          <w:p>
            <w:pPr>
              <w:adjustRightInd w:val="0"/>
              <w:snapToGrid w:val="0"/>
              <w:spacing w:line="360" w:lineRule="auto"/>
              <w:ind w:firstLine="480" w:firstLineChars="200"/>
              <w:rPr>
                <w:color w:val="auto"/>
                <w:sz w:val="24"/>
              </w:rPr>
            </w:pPr>
            <w:r>
              <w:rPr>
                <w:rFonts w:hint="eastAsia"/>
                <w:color w:val="auto"/>
                <w:sz w:val="24"/>
              </w:rPr>
              <w:t>（</w:t>
            </w:r>
            <w:r>
              <w:rPr>
                <w:color w:val="auto"/>
                <w:sz w:val="24"/>
              </w:rPr>
              <w:t>2</w:t>
            </w:r>
            <w:r>
              <w:rPr>
                <w:rFonts w:hint="eastAsia"/>
                <w:color w:val="auto"/>
                <w:sz w:val="24"/>
              </w:rPr>
              <w:t>）施工单位要做好施工场地周围的拦挡措施，尽量避开雨季土石方作业；站内施工废水、施工车辆清洗废水妥善处理，不外排。</w:t>
            </w:r>
          </w:p>
          <w:p>
            <w:pPr>
              <w:adjustRightInd w:val="0"/>
              <w:snapToGrid w:val="0"/>
              <w:spacing w:line="360" w:lineRule="auto"/>
              <w:ind w:firstLine="480" w:firstLineChars="200"/>
              <w:rPr>
                <w:color w:val="auto"/>
                <w:sz w:val="24"/>
              </w:rPr>
            </w:pPr>
            <w:r>
              <w:rPr>
                <w:rFonts w:hint="eastAsia"/>
                <w:color w:val="auto"/>
                <w:sz w:val="24"/>
              </w:rPr>
              <w:t>（</w:t>
            </w:r>
            <w:r>
              <w:rPr>
                <w:color w:val="auto"/>
                <w:sz w:val="24"/>
              </w:rPr>
              <w:t>3</w:t>
            </w:r>
            <w:r>
              <w:rPr>
                <w:rFonts w:hint="eastAsia"/>
                <w:color w:val="auto"/>
                <w:sz w:val="24"/>
              </w:rPr>
              <w:t>）落实文明施工原则，不漫排施工废水，弃土弃渣妥善处理。</w:t>
            </w:r>
          </w:p>
          <w:p>
            <w:pPr>
              <w:adjustRightInd w:val="0"/>
              <w:snapToGrid w:val="0"/>
              <w:spacing w:line="360" w:lineRule="auto"/>
              <w:ind w:firstLine="480" w:firstLineChars="200"/>
              <w:rPr>
                <w:color w:val="auto"/>
                <w:sz w:val="24"/>
              </w:rPr>
            </w:pPr>
            <w:r>
              <w:rPr>
                <w:rFonts w:hint="eastAsia"/>
                <w:color w:val="auto"/>
                <w:sz w:val="24"/>
              </w:rPr>
              <w:t>（</w:t>
            </w:r>
            <w:r>
              <w:rPr>
                <w:color w:val="auto"/>
                <w:sz w:val="24"/>
              </w:rPr>
              <w:t>4</w:t>
            </w:r>
            <w:r>
              <w:rPr>
                <w:rFonts w:hint="eastAsia"/>
                <w:color w:val="auto"/>
                <w:sz w:val="24"/>
              </w:rPr>
              <w:t>）施工期间施工场地要划定明确的施工范围，不得随意扩大，施工临时道路要尽量利用已有道路。</w:t>
            </w:r>
          </w:p>
          <w:p>
            <w:pPr>
              <w:adjustRightInd w:val="0"/>
              <w:snapToGrid w:val="0"/>
              <w:spacing w:line="360" w:lineRule="auto"/>
              <w:ind w:firstLine="480" w:firstLineChars="200"/>
              <w:rPr>
                <w:color w:val="auto"/>
                <w:sz w:val="24"/>
              </w:rPr>
            </w:pPr>
            <w:r>
              <w:rPr>
                <w:rFonts w:hint="eastAsia"/>
                <w:color w:val="auto"/>
                <w:sz w:val="24"/>
              </w:rPr>
              <w:t>（</w:t>
            </w:r>
            <w:r>
              <w:rPr>
                <w:color w:val="auto"/>
                <w:sz w:val="24"/>
              </w:rPr>
              <w:t>5</w:t>
            </w:r>
            <w:r>
              <w:rPr>
                <w:rFonts w:hint="eastAsia"/>
                <w:color w:val="auto"/>
                <w:sz w:val="24"/>
              </w:rPr>
              <w:t>）严格控制在施工现场拌制混凝土，选择购买商品混凝土和预拌混凝土。</w:t>
            </w:r>
          </w:p>
          <w:p>
            <w:pPr>
              <w:adjustRightInd w:val="0"/>
              <w:snapToGrid w:val="0"/>
              <w:spacing w:line="360" w:lineRule="auto"/>
              <w:ind w:firstLine="480" w:firstLineChars="200"/>
              <w:rPr>
                <w:color w:val="auto"/>
                <w:sz w:val="24"/>
              </w:rPr>
            </w:pPr>
            <w:r>
              <w:rPr>
                <w:rFonts w:hint="eastAsia"/>
                <w:color w:val="auto"/>
                <w:sz w:val="24"/>
              </w:rPr>
              <w:t>（</w:t>
            </w:r>
            <w:r>
              <w:rPr>
                <w:color w:val="auto"/>
                <w:sz w:val="24"/>
              </w:rPr>
              <w:t>6</w:t>
            </w:r>
            <w:r>
              <w:rPr>
                <w:rFonts w:hint="eastAsia"/>
                <w:color w:val="auto"/>
                <w:sz w:val="24"/>
              </w:rPr>
              <w:t>）合理安排工期，抓紧时间完成施工内容，避免雨季施工。</w:t>
            </w:r>
          </w:p>
          <w:p>
            <w:pPr>
              <w:adjustRightInd w:val="0"/>
              <w:snapToGrid w:val="0"/>
              <w:spacing w:line="360" w:lineRule="auto"/>
              <w:jc w:val="left"/>
              <w:rPr>
                <w:b/>
                <w:color w:val="auto"/>
                <w:sz w:val="24"/>
              </w:rPr>
            </w:pPr>
            <w:r>
              <w:rPr>
                <w:b/>
                <w:color w:val="auto"/>
                <w:sz w:val="24"/>
              </w:rPr>
              <w:t>7.1.4</w:t>
            </w:r>
            <w:r>
              <w:rPr>
                <w:rFonts w:hint="eastAsia"/>
                <w:b/>
                <w:color w:val="auto"/>
                <w:sz w:val="24"/>
              </w:rPr>
              <w:t>施工固体废物环境影响分析</w:t>
            </w:r>
          </w:p>
          <w:p>
            <w:pPr>
              <w:adjustRightInd w:val="0"/>
              <w:snapToGrid w:val="0"/>
              <w:spacing w:line="360" w:lineRule="auto"/>
              <w:jc w:val="left"/>
              <w:rPr>
                <w:b/>
                <w:color w:val="auto"/>
                <w:sz w:val="24"/>
              </w:rPr>
            </w:pPr>
            <w:r>
              <w:rPr>
                <w:b/>
                <w:color w:val="auto"/>
                <w:sz w:val="24"/>
              </w:rPr>
              <w:t>7.1.4.1</w:t>
            </w:r>
            <w:r>
              <w:rPr>
                <w:rFonts w:hint="eastAsia"/>
                <w:b/>
                <w:color w:val="auto"/>
                <w:sz w:val="24"/>
              </w:rPr>
              <w:t>施工期固废来源及环境影响分析</w:t>
            </w:r>
          </w:p>
          <w:p>
            <w:pPr>
              <w:adjustRightInd w:val="0"/>
              <w:snapToGrid w:val="0"/>
              <w:spacing w:line="360" w:lineRule="auto"/>
              <w:ind w:firstLine="480" w:firstLineChars="200"/>
              <w:rPr>
                <w:color w:val="auto"/>
                <w:sz w:val="24"/>
              </w:rPr>
            </w:pPr>
            <w:r>
              <w:rPr>
                <w:rFonts w:hint="eastAsia"/>
                <w:color w:val="auto"/>
                <w:sz w:val="24"/>
              </w:rPr>
              <w:t>施工期固体废弃物主要为施工产生的建筑垃圾、弃土弃渣以及施工人员的生活垃圾。施工产生的建筑垃圾、弃土弃渣若不妥善处置则会产生水土流失等环境影响，产生的生活垃圾若不妥善处置则不仅污染环境而且破坏景观。</w:t>
            </w:r>
          </w:p>
          <w:p>
            <w:pPr>
              <w:autoSpaceDE w:val="0"/>
              <w:autoSpaceDN w:val="0"/>
              <w:adjustRightInd w:val="0"/>
              <w:snapToGrid w:val="0"/>
              <w:spacing w:line="360" w:lineRule="auto"/>
              <w:ind w:firstLine="480" w:firstLineChars="200"/>
              <w:jc w:val="left"/>
              <w:rPr>
                <w:color w:val="auto"/>
                <w:sz w:val="24"/>
              </w:rPr>
            </w:pPr>
            <w:r>
              <w:rPr>
                <w:rFonts w:hint="eastAsia"/>
                <w:color w:val="auto"/>
                <w:sz w:val="24"/>
              </w:rPr>
              <w:t>根据工可报告，本工程挖方量约</w:t>
            </w:r>
            <w:r>
              <w:rPr>
                <w:color w:val="auto"/>
                <w:sz w:val="24"/>
              </w:rPr>
              <w:t>49739m</w:t>
            </w:r>
            <w:r>
              <w:rPr>
                <w:color w:val="auto"/>
                <w:sz w:val="24"/>
                <w:vertAlign w:val="superscript"/>
              </w:rPr>
              <w:t>3</w:t>
            </w:r>
            <w:r>
              <w:rPr>
                <w:rFonts w:hint="eastAsia"/>
                <w:color w:val="auto"/>
                <w:sz w:val="24"/>
              </w:rPr>
              <w:t>，填方量约</w:t>
            </w:r>
            <w:r>
              <w:rPr>
                <w:color w:val="auto"/>
                <w:sz w:val="24"/>
              </w:rPr>
              <w:t>45072m</w:t>
            </w:r>
            <w:r>
              <w:rPr>
                <w:color w:val="auto"/>
                <w:sz w:val="24"/>
                <w:vertAlign w:val="superscript"/>
              </w:rPr>
              <w:t>3</w:t>
            </w:r>
            <w:r>
              <w:rPr>
                <w:rFonts w:hint="eastAsia"/>
                <w:color w:val="auto"/>
                <w:sz w:val="24"/>
              </w:rPr>
              <w:t>，弃方约</w:t>
            </w:r>
            <w:r>
              <w:rPr>
                <w:color w:val="auto"/>
                <w:sz w:val="24"/>
              </w:rPr>
              <w:t>4667m</w:t>
            </w:r>
            <w:r>
              <w:rPr>
                <w:color w:val="auto"/>
                <w:sz w:val="24"/>
                <w:vertAlign w:val="superscript"/>
              </w:rPr>
              <w:t>3</w:t>
            </w:r>
            <w:r>
              <w:rPr>
                <w:rFonts w:hint="eastAsia"/>
                <w:color w:val="auto"/>
                <w:sz w:val="24"/>
              </w:rPr>
              <w:t>，外运距离约</w:t>
            </w:r>
            <w:r>
              <w:rPr>
                <w:color w:val="auto"/>
                <w:sz w:val="24"/>
              </w:rPr>
              <w:t>15km</w:t>
            </w:r>
            <w:r>
              <w:rPr>
                <w:rFonts w:hint="eastAsia"/>
                <w:color w:val="auto"/>
                <w:sz w:val="24"/>
              </w:rPr>
              <w:t>，具体土石方平衡详见工程水保方案。表层土是进行生态恢复的宝贵土壤资源，因此在挖方时要求与下层土层分开开挖和处置。对于表层土壤采取表层剥离、就近设置临时堆置点堆置，并上覆土工布以防止雨水冲刷造成水土流失。</w:t>
            </w:r>
            <w:r>
              <w:rPr>
                <w:rFonts w:hint="eastAsia"/>
                <w:color w:val="auto"/>
                <w:kern w:val="0"/>
                <w:sz w:val="24"/>
              </w:rPr>
              <w:t>施工单位在堆渣前，需剥离渣场表土，并清除树根、草皮等，避免树根、草皮等腐烂后在原地面与堆渣体间形成软弱夹层。</w:t>
            </w:r>
          </w:p>
          <w:p>
            <w:pPr>
              <w:adjustRightInd w:val="0"/>
              <w:snapToGrid w:val="0"/>
              <w:spacing w:line="360" w:lineRule="auto"/>
              <w:ind w:firstLine="480" w:firstLineChars="200"/>
              <w:rPr>
                <w:color w:val="auto"/>
                <w:sz w:val="24"/>
              </w:rPr>
            </w:pPr>
            <w:r>
              <w:rPr>
                <w:rFonts w:hint="eastAsia"/>
                <w:color w:val="auto"/>
                <w:sz w:val="24"/>
              </w:rPr>
              <w:t>在采取相应环保措施的基础上，施工固废不会对环境产生影响。</w:t>
            </w:r>
          </w:p>
          <w:p>
            <w:pPr>
              <w:adjustRightInd w:val="0"/>
              <w:snapToGrid w:val="0"/>
              <w:spacing w:line="360" w:lineRule="auto"/>
              <w:jc w:val="left"/>
              <w:rPr>
                <w:b/>
                <w:color w:val="auto"/>
                <w:sz w:val="24"/>
              </w:rPr>
            </w:pPr>
            <w:r>
              <w:rPr>
                <w:b/>
                <w:color w:val="auto"/>
                <w:sz w:val="24"/>
              </w:rPr>
              <w:t>7.1.4.2</w:t>
            </w:r>
            <w:r>
              <w:rPr>
                <w:rFonts w:hint="eastAsia"/>
                <w:b/>
                <w:color w:val="auto"/>
                <w:sz w:val="24"/>
              </w:rPr>
              <w:t>拟采取的环保措施及效果</w:t>
            </w:r>
          </w:p>
          <w:p>
            <w:pPr>
              <w:adjustRightInd w:val="0"/>
              <w:snapToGrid w:val="0"/>
              <w:spacing w:line="360" w:lineRule="auto"/>
              <w:ind w:firstLine="480" w:firstLineChars="200"/>
              <w:rPr>
                <w:color w:val="auto"/>
                <w:sz w:val="24"/>
              </w:rPr>
            </w:pPr>
            <w:r>
              <w:rPr>
                <w:rFonts w:hint="eastAsia"/>
                <w:color w:val="auto"/>
                <w:sz w:val="24"/>
              </w:rPr>
              <w:t>（</w:t>
            </w:r>
            <w:r>
              <w:rPr>
                <w:color w:val="auto"/>
                <w:sz w:val="24"/>
              </w:rPr>
              <w:t>1</w:t>
            </w:r>
            <w:r>
              <w:rPr>
                <w:rFonts w:hint="eastAsia"/>
                <w:color w:val="auto"/>
                <w:sz w:val="24"/>
              </w:rPr>
              <w:t>）对施工过程产生的余土，或临时堆放弃土，应在指定处堆放，顶层与底层均铺设隔水布。</w:t>
            </w:r>
          </w:p>
          <w:p>
            <w:pPr>
              <w:adjustRightInd w:val="0"/>
              <w:snapToGrid w:val="0"/>
              <w:spacing w:line="360" w:lineRule="auto"/>
              <w:ind w:firstLine="480" w:firstLineChars="200"/>
              <w:rPr>
                <w:color w:val="auto"/>
                <w:sz w:val="24"/>
              </w:rPr>
            </w:pPr>
            <w:r>
              <w:rPr>
                <w:rFonts w:hint="eastAsia"/>
                <w:color w:val="auto"/>
                <w:sz w:val="24"/>
              </w:rPr>
              <w:t>（</w:t>
            </w:r>
            <w:r>
              <w:rPr>
                <w:color w:val="auto"/>
                <w:sz w:val="24"/>
              </w:rPr>
              <w:t>2</w:t>
            </w:r>
            <w:r>
              <w:rPr>
                <w:rFonts w:hint="eastAsia"/>
                <w:color w:val="auto"/>
                <w:sz w:val="24"/>
              </w:rPr>
              <w:t>）明确要求施工过程中的建筑垃圾及生活垃圾应分别收集堆放，并采取必要的防护施（防雨、防飞扬等）。</w:t>
            </w:r>
          </w:p>
          <w:p>
            <w:pPr>
              <w:adjustRightInd w:val="0"/>
              <w:snapToGrid w:val="0"/>
              <w:spacing w:line="360" w:lineRule="auto"/>
              <w:ind w:firstLine="480" w:firstLineChars="200"/>
              <w:rPr>
                <w:color w:val="auto"/>
                <w:sz w:val="24"/>
              </w:rPr>
            </w:pPr>
            <w:r>
              <w:rPr>
                <w:rFonts w:hint="eastAsia"/>
                <w:color w:val="auto"/>
                <w:sz w:val="24"/>
              </w:rPr>
              <w:t>（</w:t>
            </w:r>
            <w:r>
              <w:rPr>
                <w:color w:val="auto"/>
                <w:sz w:val="24"/>
              </w:rPr>
              <w:t>3</w:t>
            </w:r>
            <w:r>
              <w:rPr>
                <w:rFonts w:hint="eastAsia"/>
                <w:color w:val="auto"/>
                <w:sz w:val="24"/>
              </w:rPr>
              <w:t>）施工现场设置封闭式垃圾容器，施工场地生活垃圾实行袋装化，及时清运，对建筑垃圾进行分类处理。</w:t>
            </w:r>
          </w:p>
          <w:p>
            <w:pPr>
              <w:adjustRightInd w:val="0"/>
              <w:snapToGrid w:val="0"/>
              <w:spacing w:line="360" w:lineRule="auto"/>
              <w:jc w:val="left"/>
              <w:rPr>
                <w:b/>
                <w:bCs/>
                <w:color w:val="auto"/>
                <w:sz w:val="24"/>
              </w:rPr>
            </w:pPr>
            <w:bookmarkStart w:id="31" w:name="_Toc420421552"/>
            <w:bookmarkStart w:id="32" w:name="_Toc432278469"/>
            <w:r>
              <w:rPr>
                <w:b/>
                <w:bCs/>
                <w:color w:val="auto"/>
                <w:sz w:val="24"/>
              </w:rPr>
              <w:t>7.1.5</w:t>
            </w:r>
            <w:r>
              <w:rPr>
                <w:rFonts w:hint="eastAsia"/>
                <w:b/>
                <w:bCs/>
                <w:color w:val="auto"/>
                <w:sz w:val="24"/>
              </w:rPr>
              <w:t>施工期生态环境影响</w:t>
            </w:r>
            <w:bookmarkEnd w:id="31"/>
            <w:r>
              <w:rPr>
                <w:rFonts w:hint="eastAsia"/>
                <w:b/>
                <w:bCs/>
                <w:color w:val="auto"/>
                <w:sz w:val="24"/>
              </w:rPr>
              <w:t>分析</w:t>
            </w:r>
            <w:bookmarkEnd w:id="32"/>
          </w:p>
          <w:p>
            <w:pPr>
              <w:adjustRightInd w:val="0"/>
              <w:snapToGrid w:val="0"/>
              <w:spacing w:line="360" w:lineRule="auto"/>
              <w:jc w:val="left"/>
              <w:rPr>
                <w:b/>
                <w:color w:val="auto"/>
                <w:sz w:val="24"/>
              </w:rPr>
            </w:pPr>
            <w:r>
              <w:rPr>
                <w:b/>
                <w:color w:val="auto"/>
                <w:sz w:val="24"/>
              </w:rPr>
              <w:t>7.1.5.1</w:t>
            </w:r>
            <w:r>
              <w:rPr>
                <w:rFonts w:hint="eastAsia"/>
                <w:b/>
                <w:color w:val="auto"/>
                <w:sz w:val="24"/>
              </w:rPr>
              <w:t>生态影响及恢复分析</w:t>
            </w:r>
          </w:p>
          <w:p>
            <w:pPr>
              <w:adjustRightInd w:val="0"/>
              <w:snapToGrid w:val="0"/>
              <w:spacing w:line="360" w:lineRule="auto"/>
              <w:ind w:firstLine="480" w:firstLineChars="200"/>
              <w:rPr>
                <w:color w:val="auto"/>
                <w:sz w:val="24"/>
                <w:szCs w:val="24"/>
              </w:rPr>
            </w:pPr>
            <w:r>
              <w:rPr>
                <w:rFonts w:hint="eastAsia"/>
                <w:color w:val="auto"/>
                <w:sz w:val="24"/>
                <w:szCs w:val="24"/>
              </w:rPr>
              <w:t>本工程建设期对生态环境的影响主要表现在</w:t>
            </w:r>
            <w:r>
              <w:rPr>
                <w:rFonts w:hint="eastAsia"/>
                <w:color w:val="auto"/>
                <w:sz w:val="24"/>
              </w:rPr>
              <w:t>施工过程中，土壤植被被破坏，加大土壤暴露程度；泥土转运装卸作业过程中的撒漏，都可能造成施工过程中的水土流失。在施工场地上，雨水径流以</w:t>
            </w:r>
            <w:r>
              <w:rPr>
                <w:color w:val="auto"/>
                <w:sz w:val="24"/>
              </w:rPr>
              <w:t>“</w:t>
            </w:r>
            <w:r>
              <w:rPr>
                <w:rFonts w:hint="eastAsia"/>
                <w:color w:val="auto"/>
                <w:sz w:val="24"/>
              </w:rPr>
              <w:t>黄泥水</w:t>
            </w:r>
            <w:r>
              <w:rPr>
                <w:color w:val="auto"/>
                <w:sz w:val="24"/>
              </w:rPr>
              <w:t>”</w:t>
            </w:r>
            <w:r>
              <w:rPr>
                <w:rFonts w:hint="eastAsia"/>
                <w:color w:val="auto"/>
                <w:sz w:val="24"/>
              </w:rPr>
              <w:t>的形式进入排水沟，</w:t>
            </w:r>
            <w:r>
              <w:rPr>
                <w:color w:val="auto"/>
                <w:sz w:val="24"/>
              </w:rPr>
              <w:t>“</w:t>
            </w:r>
            <w:r>
              <w:rPr>
                <w:rFonts w:hint="eastAsia"/>
                <w:color w:val="auto"/>
                <w:sz w:val="24"/>
              </w:rPr>
              <w:t>黄泥水</w:t>
            </w:r>
            <w:r>
              <w:rPr>
                <w:color w:val="auto"/>
                <w:sz w:val="24"/>
              </w:rPr>
              <w:t>”</w:t>
            </w:r>
            <w:r>
              <w:rPr>
                <w:rFonts w:hint="eastAsia"/>
                <w:color w:val="auto"/>
                <w:sz w:val="24"/>
              </w:rPr>
              <w:t>沉积后将会堵塞排水沟及地下排水管网，对周围排水系统产生影响。施工期建设单位通过落实水保方案各项水土保持措施，将极大程度的减轻项目施工对区域生态环境造成的影响。</w:t>
            </w:r>
          </w:p>
          <w:p>
            <w:pPr>
              <w:adjustRightInd w:val="0"/>
              <w:snapToGrid w:val="0"/>
              <w:spacing w:line="360" w:lineRule="auto"/>
              <w:jc w:val="left"/>
              <w:rPr>
                <w:b/>
                <w:color w:val="auto"/>
                <w:sz w:val="24"/>
              </w:rPr>
            </w:pPr>
            <w:r>
              <w:rPr>
                <w:b/>
                <w:color w:val="auto"/>
                <w:sz w:val="24"/>
              </w:rPr>
              <w:t xml:space="preserve">7.1.5.2 </w:t>
            </w:r>
            <w:r>
              <w:rPr>
                <w:rFonts w:hint="eastAsia"/>
                <w:b/>
                <w:color w:val="auto"/>
                <w:sz w:val="24"/>
              </w:rPr>
              <w:t>拟采取的环保措施及效果</w:t>
            </w:r>
          </w:p>
          <w:p>
            <w:pPr>
              <w:adjustRightInd w:val="0"/>
              <w:snapToGrid w:val="0"/>
              <w:spacing w:line="360" w:lineRule="auto"/>
              <w:jc w:val="left"/>
              <w:rPr>
                <w:bCs/>
                <w:color w:val="auto"/>
              </w:rPr>
            </w:pPr>
            <w:r>
              <w:rPr>
                <w:rFonts w:hint="eastAsia"/>
                <w:bCs/>
                <w:color w:val="auto"/>
                <w:sz w:val="24"/>
              </w:rPr>
              <w:t>（</w:t>
            </w:r>
            <w:r>
              <w:rPr>
                <w:bCs/>
                <w:color w:val="auto"/>
                <w:sz w:val="24"/>
              </w:rPr>
              <w:t>1</w:t>
            </w:r>
            <w:r>
              <w:rPr>
                <w:rFonts w:hint="eastAsia"/>
                <w:bCs/>
                <w:color w:val="auto"/>
                <w:sz w:val="24"/>
              </w:rPr>
              <w:t>）土地占用</w:t>
            </w:r>
          </w:p>
          <w:p>
            <w:pPr>
              <w:adjustRightInd w:val="0"/>
              <w:snapToGrid w:val="0"/>
              <w:spacing w:line="360" w:lineRule="auto"/>
              <w:ind w:firstLine="600" w:firstLineChars="250"/>
              <w:jc w:val="left"/>
              <w:rPr>
                <w:bCs/>
                <w:color w:val="auto"/>
              </w:rPr>
            </w:pPr>
            <w:r>
              <w:rPr>
                <w:rFonts w:hint="eastAsia"/>
                <w:bCs/>
                <w:color w:val="auto"/>
                <w:sz w:val="24"/>
              </w:rPr>
              <w:t>在施工过程中应按图施工，严格控制开挖范围及开挖量，站内施工时基础开挖多余的土石方应集中堆置，不允许随意处置；施工结束后应及时清理建筑垃圾、恢复地表状态及土地使用功能。</w:t>
            </w:r>
          </w:p>
          <w:p>
            <w:pPr>
              <w:adjustRightInd w:val="0"/>
              <w:snapToGrid w:val="0"/>
              <w:spacing w:line="360" w:lineRule="auto"/>
              <w:jc w:val="left"/>
              <w:rPr>
                <w:bCs/>
                <w:color w:val="auto"/>
              </w:rPr>
            </w:pPr>
            <w:r>
              <w:rPr>
                <w:rFonts w:hint="eastAsia"/>
                <w:bCs/>
                <w:color w:val="auto"/>
                <w:sz w:val="24"/>
              </w:rPr>
              <w:t>（</w:t>
            </w:r>
            <w:r>
              <w:rPr>
                <w:bCs/>
                <w:color w:val="auto"/>
                <w:sz w:val="24"/>
              </w:rPr>
              <w:t>2</w:t>
            </w:r>
            <w:r>
              <w:rPr>
                <w:rFonts w:hint="eastAsia"/>
                <w:bCs/>
                <w:color w:val="auto"/>
                <w:sz w:val="24"/>
              </w:rPr>
              <w:t>）植被破坏</w:t>
            </w:r>
          </w:p>
          <w:p>
            <w:pPr>
              <w:adjustRightInd w:val="0"/>
              <w:snapToGrid w:val="0"/>
              <w:spacing w:line="360" w:lineRule="auto"/>
              <w:ind w:firstLine="480" w:firstLineChars="200"/>
              <w:jc w:val="left"/>
              <w:rPr>
                <w:bCs/>
                <w:color w:val="auto"/>
              </w:rPr>
            </w:pPr>
            <w:r>
              <w:rPr>
                <w:bCs/>
                <w:color w:val="auto"/>
                <w:sz w:val="24"/>
              </w:rPr>
              <w:t>1</w:t>
            </w:r>
            <w:r>
              <w:rPr>
                <w:rFonts w:hint="eastAsia"/>
                <w:bCs/>
                <w:color w:val="auto"/>
                <w:sz w:val="24"/>
              </w:rPr>
              <w:t>）储能电站施工应在变电站征地范围内进行，文明施工，集中堆放材料，严禁踩踏施工区域外地表植被。</w:t>
            </w:r>
          </w:p>
          <w:p>
            <w:pPr>
              <w:adjustRightInd w:val="0"/>
              <w:snapToGrid w:val="0"/>
              <w:spacing w:line="360" w:lineRule="auto"/>
              <w:ind w:firstLine="480" w:firstLineChars="200"/>
              <w:jc w:val="left"/>
              <w:rPr>
                <w:bCs/>
                <w:color w:val="auto"/>
              </w:rPr>
            </w:pPr>
            <w:r>
              <w:rPr>
                <w:bCs/>
                <w:color w:val="auto"/>
                <w:sz w:val="24"/>
              </w:rPr>
              <w:t>2</w:t>
            </w:r>
            <w:r>
              <w:rPr>
                <w:rFonts w:hint="eastAsia"/>
                <w:bCs/>
                <w:color w:val="auto"/>
                <w:sz w:val="24"/>
              </w:rPr>
              <w:t>）对于永久占地造成的植被破坏，业主应严格按照有关规定向政府和主管部门缴纳相关青苗补偿费、林木赔偿费，并由相关部门统一安排。</w:t>
            </w:r>
          </w:p>
          <w:p>
            <w:pPr>
              <w:adjustRightInd w:val="0"/>
              <w:snapToGrid w:val="0"/>
              <w:spacing w:line="360" w:lineRule="auto"/>
              <w:ind w:firstLine="480" w:firstLineChars="200"/>
              <w:jc w:val="left"/>
              <w:rPr>
                <w:bCs/>
                <w:color w:val="auto"/>
              </w:rPr>
            </w:pPr>
            <w:r>
              <w:rPr>
                <w:rFonts w:hint="eastAsia"/>
                <w:bCs/>
                <w:color w:val="auto"/>
                <w:sz w:val="24"/>
              </w:rPr>
              <w:t>在采取以上植被保护措施以后，工程施工对植被的影响是可控的。</w:t>
            </w:r>
          </w:p>
          <w:p>
            <w:pPr>
              <w:adjustRightInd w:val="0"/>
              <w:snapToGrid w:val="0"/>
              <w:spacing w:line="360" w:lineRule="auto"/>
              <w:jc w:val="left"/>
              <w:rPr>
                <w:b/>
                <w:bCs/>
                <w:color w:val="auto"/>
                <w:sz w:val="24"/>
              </w:rPr>
            </w:pPr>
            <w:r>
              <w:rPr>
                <w:b/>
                <w:bCs/>
                <w:color w:val="auto"/>
                <w:sz w:val="24"/>
              </w:rPr>
              <w:t>7.1.6</w:t>
            </w:r>
            <w:r>
              <w:rPr>
                <w:rFonts w:hint="eastAsia"/>
                <w:b/>
                <w:bCs/>
                <w:color w:val="auto"/>
                <w:sz w:val="24"/>
              </w:rPr>
              <w:t>施工期环境影响分析小结</w:t>
            </w:r>
          </w:p>
          <w:p>
            <w:pPr>
              <w:tabs>
                <w:tab w:val="left" w:pos="0"/>
              </w:tabs>
              <w:adjustRightInd w:val="0"/>
              <w:snapToGrid w:val="0"/>
              <w:spacing w:line="360" w:lineRule="auto"/>
              <w:ind w:firstLine="576" w:firstLineChars="240"/>
              <w:jc w:val="left"/>
              <w:rPr>
                <w:rFonts w:eastAsia="楷体_GB2312"/>
                <w:b/>
                <w:bCs/>
                <w:color w:val="auto"/>
                <w:sz w:val="24"/>
                <w:szCs w:val="24"/>
              </w:rPr>
            </w:pPr>
            <w:r>
              <w:rPr>
                <w:rFonts w:hint="eastAsia"/>
                <w:color w:val="auto"/>
                <w:sz w:val="24"/>
              </w:rPr>
              <w:t>综上所述，本工程在施工期的环境影响是短暂的，随着施工期的结束而消失。施工单位应严格按照有关规定采取上述措施进行污染防治，并加强监管，使本项目施工对周围环境的影响降低到最小。</w:t>
            </w:r>
          </w:p>
          <w:p>
            <w:pPr>
              <w:numPr>
                <w:ilvl w:val="1"/>
                <w:numId w:val="7"/>
              </w:numPr>
              <w:adjustRightInd w:val="0"/>
              <w:snapToGrid w:val="0"/>
              <w:spacing w:line="360" w:lineRule="auto"/>
              <w:jc w:val="left"/>
              <w:rPr>
                <w:rFonts w:eastAsia="楷体_GB2312"/>
                <w:b/>
                <w:bCs/>
                <w:color w:val="auto"/>
                <w:sz w:val="24"/>
                <w:szCs w:val="24"/>
              </w:rPr>
            </w:pPr>
            <w:r>
              <w:rPr>
                <w:rFonts w:hint="eastAsia" w:eastAsia="楷体_GB2312"/>
                <w:b/>
                <w:bCs/>
                <w:color w:val="auto"/>
                <w:sz w:val="24"/>
                <w:szCs w:val="24"/>
              </w:rPr>
              <w:t>营运期环境影响分析</w:t>
            </w:r>
          </w:p>
          <w:p>
            <w:pPr>
              <w:adjustRightInd w:val="0"/>
              <w:snapToGrid w:val="0"/>
              <w:spacing w:line="360" w:lineRule="auto"/>
              <w:jc w:val="left"/>
              <w:rPr>
                <w:rFonts w:eastAsia="楷体_GB2312"/>
                <w:b/>
                <w:bCs/>
                <w:color w:val="auto"/>
                <w:sz w:val="24"/>
              </w:rPr>
            </w:pPr>
            <w:r>
              <w:rPr>
                <w:rFonts w:eastAsia="楷体_GB2312"/>
                <w:b/>
                <w:bCs/>
                <w:color w:val="auto"/>
                <w:sz w:val="24"/>
              </w:rPr>
              <w:t>7.2.1</w:t>
            </w:r>
            <w:r>
              <w:rPr>
                <w:rFonts w:hint="eastAsia" w:eastAsia="楷体_GB2312"/>
                <w:b/>
                <w:bCs/>
                <w:color w:val="auto"/>
                <w:sz w:val="24"/>
              </w:rPr>
              <w:t>电磁环境影响分析及评价</w:t>
            </w:r>
          </w:p>
          <w:p>
            <w:pPr>
              <w:snapToGrid w:val="0"/>
              <w:spacing w:line="312" w:lineRule="auto"/>
              <w:ind w:firstLine="480" w:firstLineChars="200"/>
              <w:rPr>
                <w:rFonts w:eastAsiaTheme="minorEastAsia"/>
                <w:color w:val="auto"/>
                <w:sz w:val="24"/>
              </w:rPr>
            </w:pPr>
            <w:r>
              <w:rPr>
                <w:rFonts w:hint="eastAsia" w:eastAsiaTheme="minorEastAsia"/>
                <w:color w:val="auto"/>
                <w:sz w:val="24"/>
              </w:rPr>
              <w:t>本工程电磁环境影响分析详见电磁环境影响专题评价，此处引用该专题评价结论：</w:t>
            </w:r>
          </w:p>
          <w:p>
            <w:pPr>
              <w:snapToGrid w:val="0"/>
              <w:spacing w:line="360" w:lineRule="auto"/>
              <w:ind w:firstLine="480" w:firstLineChars="200"/>
              <w:rPr>
                <w:rFonts w:eastAsiaTheme="minorEastAsia"/>
                <w:color w:val="auto"/>
                <w:sz w:val="24"/>
              </w:rPr>
            </w:pPr>
            <w:r>
              <w:rPr>
                <w:rFonts w:hint="eastAsia" w:eastAsiaTheme="minorEastAsia"/>
                <w:color w:val="auto"/>
                <w:sz w:val="24"/>
              </w:rPr>
              <w:t>通过实际监测，本工程投运后，各电磁环境保护目标的工频电场强度、工频磁感应强度分别能满足《电磁环境控制限值》（</w:t>
            </w:r>
            <w:r>
              <w:rPr>
                <w:rFonts w:eastAsiaTheme="minorEastAsia"/>
                <w:color w:val="auto"/>
                <w:sz w:val="24"/>
              </w:rPr>
              <w:t>GB8702-2014</w:t>
            </w:r>
            <w:r>
              <w:rPr>
                <w:rFonts w:hint="eastAsia" w:eastAsiaTheme="minorEastAsia"/>
                <w:color w:val="auto"/>
                <w:sz w:val="24"/>
              </w:rPr>
              <w:t>）中</w:t>
            </w:r>
            <w:r>
              <w:rPr>
                <w:rFonts w:eastAsiaTheme="minorEastAsia"/>
                <w:color w:val="auto"/>
                <w:sz w:val="24"/>
              </w:rPr>
              <w:t>4000V/m</w:t>
            </w:r>
            <w:r>
              <w:rPr>
                <w:rFonts w:hint="eastAsia" w:eastAsiaTheme="minorEastAsia"/>
                <w:color w:val="auto"/>
                <w:sz w:val="24"/>
              </w:rPr>
              <w:t>、</w:t>
            </w:r>
            <w:r>
              <w:rPr>
                <w:rFonts w:eastAsiaTheme="minorEastAsia"/>
                <w:color w:val="auto"/>
                <w:sz w:val="24"/>
              </w:rPr>
              <w:t>100μT</w:t>
            </w:r>
            <w:r>
              <w:rPr>
                <w:rFonts w:hint="eastAsia" w:eastAsiaTheme="minorEastAsia"/>
                <w:color w:val="auto"/>
                <w:sz w:val="24"/>
              </w:rPr>
              <w:t>的标准限值要求。</w:t>
            </w:r>
          </w:p>
          <w:p>
            <w:pPr>
              <w:adjustRightInd w:val="0"/>
              <w:snapToGrid w:val="0"/>
              <w:spacing w:line="360" w:lineRule="auto"/>
              <w:jc w:val="left"/>
              <w:rPr>
                <w:rFonts w:eastAsia="楷体_GB2312"/>
                <w:b/>
                <w:bCs/>
                <w:color w:val="auto"/>
                <w:sz w:val="24"/>
              </w:rPr>
            </w:pPr>
            <w:r>
              <w:rPr>
                <w:rFonts w:eastAsia="楷体_GB2312"/>
                <w:b/>
                <w:bCs/>
                <w:color w:val="auto"/>
                <w:sz w:val="24"/>
              </w:rPr>
              <w:t>7.2.2</w:t>
            </w:r>
            <w:r>
              <w:rPr>
                <w:rFonts w:hint="eastAsia" w:eastAsia="楷体_GB2312"/>
                <w:b/>
                <w:bCs/>
                <w:color w:val="auto"/>
                <w:sz w:val="24"/>
              </w:rPr>
              <w:t>声环境影响分析</w:t>
            </w:r>
          </w:p>
          <w:p>
            <w:pPr>
              <w:adjustRightInd w:val="0"/>
              <w:snapToGrid w:val="0"/>
              <w:spacing w:line="360" w:lineRule="auto"/>
              <w:jc w:val="left"/>
              <w:rPr>
                <w:rFonts w:eastAsia="楷体_GB2312"/>
                <w:b/>
                <w:bCs/>
                <w:color w:val="auto"/>
                <w:sz w:val="24"/>
              </w:rPr>
            </w:pPr>
            <w:bookmarkStart w:id="33" w:name="_Toc344399848"/>
            <w:bookmarkStart w:id="34" w:name="_Toc344398112"/>
            <w:r>
              <w:rPr>
                <w:rFonts w:eastAsia="楷体_GB2312"/>
                <w:b/>
                <w:color w:val="auto"/>
                <w:sz w:val="24"/>
              </w:rPr>
              <w:t>7.2.2.1</w:t>
            </w:r>
            <w:r>
              <w:rPr>
                <w:rFonts w:hint="eastAsia" w:eastAsia="楷体_GB2312"/>
                <w:b/>
                <w:bCs/>
                <w:color w:val="auto"/>
                <w:sz w:val="24"/>
              </w:rPr>
              <w:t>变电站声环境影响分析</w:t>
            </w:r>
          </w:p>
          <w:p>
            <w:pPr>
              <w:snapToGrid w:val="0"/>
              <w:spacing w:line="360" w:lineRule="auto"/>
              <w:ind w:firstLine="480" w:firstLineChars="200"/>
              <w:rPr>
                <w:rFonts w:eastAsiaTheme="minorEastAsia"/>
                <w:color w:val="auto"/>
                <w:sz w:val="24"/>
                <w:u w:val="single"/>
              </w:rPr>
            </w:pPr>
            <w:r>
              <w:rPr>
                <w:rFonts w:hint="eastAsia" w:eastAsiaTheme="minorEastAsia"/>
                <w:color w:val="auto"/>
                <w:sz w:val="24"/>
              </w:rPr>
              <w:t>本工程变电站主要噪声源是站内设备运行时产生的连续电磁性和机械性噪声。</w:t>
            </w:r>
            <w:r>
              <w:rPr>
                <w:color w:val="auto"/>
                <w:sz w:val="24"/>
              </w:rPr>
              <w:t>110kV</w:t>
            </w:r>
            <w:r>
              <w:rPr>
                <w:rFonts w:hint="eastAsia"/>
                <w:color w:val="auto"/>
                <w:sz w:val="24"/>
              </w:rPr>
              <w:t>户外式变电站对周围声环境的影响主要是由变电站中的主变压器和辅助机械设备（如制冷空调、风机等）运行时所产生的噪声。</w:t>
            </w:r>
          </w:p>
          <w:p>
            <w:pPr>
              <w:snapToGrid w:val="0"/>
              <w:spacing w:line="312" w:lineRule="auto"/>
              <w:ind w:firstLine="480" w:firstLineChars="200"/>
              <w:rPr>
                <w:rFonts w:eastAsiaTheme="minorEastAsia"/>
                <w:color w:val="auto"/>
                <w:sz w:val="24"/>
              </w:rPr>
            </w:pPr>
            <w:r>
              <w:rPr>
                <w:rFonts w:hint="eastAsia" w:eastAsiaTheme="minorEastAsia"/>
                <w:color w:val="auto"/>
                <w:sz w:val="24"/>
              </w:rPr>
              <w:t>（</w:t>
            </w:r>
            <w:r>
              <w:rPr>
                <w:rFonts w:eastAsiaTheme="minorEastAsia"/>
                <w:color w:val="auto"/>
                <w:sz w:val="24"/>
              </w:rPr>
              <w:t>1</w:t>
            </w:r>
            <w:r>
              <w:rPr>
                <w:rFonts w:hint="eastAsia" w:eastAsiaTheme="minorEastAsia"/>
                <w:color w:val="auto"/>
                <w:sz w:val="24"/>
              </w:rPr>
              <w:t>）预测模式</w:t>
            </w:r>
          </w:p>
          <w:p>
            <w:pPr>
              <w:snapToGrid w:val="0"/>
              <w:spacing w:line="360" w:lineRule="auto"/>
              <w:ind w:firstLine="480" w:firstLineChars="200"/>
              <w:rPr>
                <w:rFonts w:eastAsiaTheme="minorEastAsia"/>
                <w:color w:val="auto"/>
                <w:sz w:val="24"/>
              </w:rPr>
            </w:pPr>
            <w:r>
              <w:rPr>
                <w:rFonts w:hint="eastAsia" w:eastAsiaTheme="minorEastAsia"/>
                <w:color w:val="auto"/>
                <w:sz w:val="24"/>
              </w:rPr>
              <w:t>采用《环境影响评价技术导则</w:t>
            </w:r>
            <w:r>
              <w:rPr>
                <w:rFonts w:eastAsiaTheme="minorEastAsia"/>
                <w:color w:val="auto"/>
                <w:sz w:val="24"/>
              </w:rPr>
              <w:t>-</w:t>
            </w:r>
            <w:r>
              <w:rPr>
                <w:rFonts w:hint="eastAsia" w:eastAsiaTheme="minorEastAsia"/>
                <w:color w:val="auto"/>
                <w:sz w:val="24"/>
              </w:rPr>
              <w:t>声环境》（</w:t>
            </w:r>
            <w:r>
              <w:rPr>
                <w:rFonts w:eastAsiaTheme="minorEastAsia"/>
                <w:color w:val="auto"/>
                <w:sz w:val="24"/>
              </w:rPr>
              <w:t>HJ2.4—2009</w:t>
            </w:r>
            <w:r>
              <w:rPr>
                <w:rFonts w:hint="eastAsia" w:eastAsiaTheme="minorEastAsia"/>
                <w:color w:val="auto"/>
                <w:sz w:val="24"/>
              </w:rPr>
              <w:t>）中的室外工业噪声预测模式。</w:t>
            </w:r>
          </w:p>
          <w:p>
            <w:pPr>
              <w:snapToGrid w:val="0"/>
              <w:spacing w:line="360" w:lineRule="auto"/>
              <w:ind w:firstLine="480" w:firstLineChars="200"/>
              <w:rPr>
                <w:rFonts w:eastAsiaTheme="minorEastAsia"/>
                <w:color w:val="auto"/>
                <w:sz w:val="24"/>
              </w:rPr>
            </w:pPr>
            <w:r>
              <w:rPr>
                <w:rFonts w:eastAsiaTheme="minorEastAsia"/>
                <w:color w:val="auto"/>
                <w:sz w:val="24"/>
              </w:rPr>
              <w:t>1</w:t>
            </w:r>
            <w:r>
              <w:rPr>
                <w:rFonts w:hint="eastAsia" w:eastAsiaTheme="minorEastAsia"/>
                <w:color w:val="auto"/>
                <w:sz w:val="24"/>
              </w:rPr>
              <w:t>）室内声源等效室外声源</w:t>
            </w:r>
          </w:p>
          <w:p>
            <w:pPr>
              <w:snapToGrid w:val="0"/>
              <w:spacing w:line="360" w:lineRule="auto"/>
              <w:ind w:firstLine="480" w:firstLineChars="200"/>
              <w:jc w:val="center"/>
              <w:rPr>
                <w:rFonts w:eastAsiaTheme="minorEastAsia"/>
                <w:color w:val="auto"/>
                <w:sz w:val="24"/>
              </w:rPr>
            </w:pPr>
            <w:r>
              <w:rPr>
                <w:rFonts w:eastAsiaTheme="minorEastAsia"/>
                <w:color w:val="auto"/>
                <w:sz w:val="24"/>
              </w:rPr>
              <w:drawing>
                <wp:inline distT="0" distB="0" distL="0" distR="0">
                  <wp:extent cx="2225040" cy="1162685"/>
                  <wp:effectExtent l="0" t="0" r="3810" b="0"/>
                  <wp:docPr id="930" name="图片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9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26255" cy="1163725"/>
                          </a:xfrm>
                          <a:prstGeom prst="rect">
                            <a:avLst/>
                          </a:prstGeom>
                          <a:noFill/>
                          <a:ln>
                            <a:noFill/>
                          </a:ln>
                        </pic:spPr>
                      </pic:pic>
                    </a:graphicData>
                  </a:graphic>
                </wp:inline>
              </w:drawing>
            </w:r>
          </w:p>
          <w:p>
            <w:pPr>
              <w:spacing w:line="360" w:lineRule="auto"/>
              <w:ind w:firstLine="480" w:firstLineChars="200"/>
              <w:rPr>
                <w:rFonts w:eastAsiaTheme="minorEastAsia"/>
                <w:color w:val="auto"/>
                <w:sz w:val="24"/>
              </w:rPr>
            </w:pPr>
            <w:r>
              <w:rPr>
                <w:rFonts w:hint="eastAsia" w:eastAsiaTheme="minorEastAsia"/>
                <w:color w:val="auto"/>
                <w:sz w:val="24"/>
              </w:rPr>
              <w:t>①如上图所示，首先计算出某个室内靠近围护结构处的倍频带声压级：</w:t>
            </w:r>
          </w:p>
          <w:p>
            <w:pPr>
              <w:spacing w:line="360" w:lineRule="auto"/>
              <w:ind w:firstLine="2520" w:firstLineChars="1050"/>
              <w:rPr>
                <w:rFonts w:eastAsiaTheme="minorEastAsia"/>
                <w:color w:val="auto"/>
                <w:sz w:val="24"/>
              </w:rPr>
            </w:pPr>
            <w:bookmarkStart w:id="35" w:name="_Hlk23435093"/>
            <w:bookmarkEnd w:id="35"/>
            <w:r>
              <w:rPr>
                <w:rFonts w:eastAsiaTheme="minorEastAsia"/>
                <w:color w:val="auto"/>
                <w:sz w:val="24"/>
              </w:rPr>
              <w:pict>
                <v:group id="画布 839" o:spid="_x0000_s1134" o:spt="203" style="height:39.9pt;width:185.25pt;" coordsize="23526,5067" editas="canvas">
                  <o:lock v:ext="edit"/>
                  <v:shape id="画布 839" o:spid="_x0000_s1135" o:spt="75" type="#_x0000_t75" style="position:absolute;left:0;top:0;height:5067;width:23526;" filled="f" stroked="f" coordsize="21600,21600">
                    <v:path/>
                    <v:fill on="f" focussize="0,0"/>
                    <v:stroke on="f"/>
                    <v:imagedata o:title=""/>
                    <o:lock v:ext="edit" aspectratio="t"/>
                  </v:shape>
                  <v:line id="Line 5" o:spid="_x0000_s1136" o:spt="20" style="position:absolute;left:12960;top:2222;height:6;width:302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ZCtcYAAADdAAAADwAAAGRycy9kb3ducmV2LnhtbESPQWvCQBSE74X+h+UVequbllRCdA1t&#10;RCh4KNFeentkn0k0+zbsrhr99d2C4HGYmW+YeTGaXpzI+c6ygtdJAoK4trrjRsHPdvWSgfABWWNv&#10;mRRcyEOxeHyYY67tmSs6bUIjIoR9jgraEIZcSl+3ZNBP7EAcvZ11BkOUrpHa4TnCTS/fkmQqDXYc&#10;F1ocqGypPmyORkG2HfzyUv6u7LfbX6t1WlGKn0o9P40fMxCBxnAP39pfWkH6nqTw/yY+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WQrXGAAAA3QAAAA8AAAAAAAAA&#10;AAAAAAAAoQIAAGRycy9kb3ducmV2LnhtbFBLBQYAAAAABAAEAPkAAACUAwAAAAA=&#10;">
                    <v:path arrowok="t"/>
                    <v:fill on="f" focussize="0,0"/>
                    <v:stroke weight="0.5pt" color="#000000"/>
                    <v:imagedata o:title=""/>
                    <o:lock v:ext="edit" aspectratio="f"/>
                  </v:line>
                  <v:line id="Line 6" o:spid="_x0000_s1137" o:spt="20" style="position:absolute;left:17449;top:2222;height:6;width:118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nLsYAAADdAAAADwAAAGRycy9kb3ducmV2LnhtbESPT4vCMBTE7wt+h/AEb2uq1EW6RvEP&#10;grAHqXrZ26N523ZtXkoStfrpN8KCx2FmfsPMFp1pxJWcry0rGA0TEMSF1TWXCk7H7fsUhA/IGhvL&#10;pOBOHhbz3tsMM21vnNP1EEoRIewzVFCF0GZS+qIig35oW+Lo/VhnMETpSqkd3iLcNHKcJB/SYM1x&#10;ocKW1hUV58PFKJgeW7+5r7+3du9+H/lXmlOKK6UG/W75CSJQF17h//ZOK0gnyQSeb+IT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a5y7GAAAA3QAAAA8AAAAAAAAA&#10;AAAAAAAAoQIAAGRycy9kb3ducmV2LnhtbFBLBQYAAAAABAAEAPkAAACUAwAAAAA=&#10;">
                    <v:path arrowok="t"/>
                    <v:fill on="f" focussize="0,0"/>
                    <v:stroke weight="0.5pt" color="#000000"/>
                    <v:imagedata o:title=""/>
                    <o:lock v:ext="edit" aspectratio="f"/>
                  </v:line>
                  <v:rect id="Rectangle 7" o:spid="_x0000_s1138" o:spt="1" style="position:absolute;left:18821;top:1670;height:1981;width:590;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lmcMA&#10;AADdAAAADwAAAGRycy9kb3ducmV2LnhtbESP3WoCMRSE74W+QziF3mlSsSKrUUpB0OKNqw9w2Jz9&#10;ocnJkkR3ffumIPRymJlvmM1udFbcKcTOs4b3mQJBXHnTcaPhetlPVyBiQjZoPZOGB0XYbV8mGyyM&#10;H/hM9zI1IkM4FqihTakvpIxVSw7jzPfE2at9cJiyDI00AYcMd1bOlVpKhx3nhRZ7+mqp+ilvToO8&#10;lPthVdqg/Pe8Ptnj4VyT1/rtdfxcg0g0pv/ws30wGhYf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ulmcMAAADdAAAADwAAAAAAAAAAAAAAAACYAgAAZHJzL2Rv&#10;d25yZXYueG1sUEsFBgAAAAAEAAQA9QAAAIgDA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8" o:spid="_x0000_s1139" o:spt="1" style="position:absolute;left:18821;top:977;height:1982;width:590;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AsMA&#10;AADdAAAADwAAAGRycy9kb3ducmV2LnhtbESP3WoCMRSE7wt9h3CE3tVEqVa2RikFwYo3rn2Aw+bs&#10;D01OliR117c3BcHLYWa+Ydbb0VlxoRA7zxpmUwWCuPKm40bDz3n3ugIRE7JB65k0XCnCdvP8tMbC&#10;+IFPdClTIzKEY4Ea2pT6QspYteQwTn1PnL3aB4cpy9BIE3DIcGflXKmldNhxXmixp6+Wqt/yz2mQ&#10;53I3rEoblD/M66P93p9q8lq/TMbPDxCJxvQI39t7o+Fto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AAsMAAADdAAAADwAAAAAAAAAAAAAAAACYAgAAZHJzL2Rv&#10;d25yZXYueG1sUEsFBgAAAAAEAAQA9QAAAIgDA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9" o:spid="_x0000_s1140" o:spt="1" style="position:absolute;left:18821;top:2647;height:1982;width:590;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UcL8A&#10;AADdAAAADwAAAGRycy9kb3ducmV2LnhtbERPy2oCMRTdF/yHcAV3NVFskalRRBBUunHsB1wmdx6Y&#10;3AxJ6kz/3iyELg/nvdmNzooHhdh51rCYKxDElTcdNxp+bsf3NYiYkA1az6ThjyLstpO3DRbGD3yl&#10;R5kakUM4FqihTakvpIxVSw7j3PfEmat9cJgyDI00AYcc7qxcKvUpHXacG1rs6dBSdS9/nQZ5K4/D&#10;urRB+cuy/rbn07Umr/VsOu6/QCQa07/45T4ZDasP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aJRwvwAAAN0AAAAPAAAAAAAAAAAAAAAAAJgCAABkcnMvZG93bnJl&#10;di54bWxQSwUGAAAAAAQABAD1AAAAhAM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10" o:spid="_x0000_s1141" o:spt="1" style="position:absolute;left:18821;top:0;height:1981;width:590;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x68MA&#10;AADdAAAADwAAAGRycy9kb3ducmV2LnhtbESP3WoCMRSE7wt9h3AKvatJpYpdjVIKghVvXPsAh83Z&#10;H0xOliR117c3BcHLYWa+YVab0VlxoRA7zxreJwoEceVNx42G39P2bQEiJmSD1jNpuFKEzfr5aYWF&#10;8QMf6VKmRmQIxwI1tCn1hZSxaslhnPieOHu1Dw5TlqGRJuCQ4c7KqVJz6bDjvNBiT98tVefyz2mQ&#10;p3I7LEoblN9P64P92R1r8lq/voxfSxCJxvQI39s7o+Fj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Qx68MAAADdAAAADwAAAAAAAAAAAAAAAACYAgAAZHJzL2Rv&#10;d25yZXYueG1sUEsFBgAAAAAEAAQA9QAAAIgDA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11" o:spid="_x0000_s1142" o:spt="1" style="position:absolute;left:12172;top:1670;height:1981;width:59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Oq78A&#10;AADdAAAADwAAAGRycy9kb3ducmV2LnhtbERPy4rCMBTdC/5DuIK7MVV0kGoUEQQd3Fj9gEtz+8Dk&#10;piQZ2/l7sxhweTjv7X6wRrzIh9axgvksA0FcOt1yreBxP32tQYSIrNE4JgV/FGC/G4+2mGvX841e&#10;RaxFCuGQo4Imxi6XMpQNWQwz1xEnrnLeYkzQ11J77FO4NXKRZd/SYsupocGOjg2Vz+LXKpD34tSv&#10;C+Mz97OoruZyvlXklJpOhsMGRKQhfsT/7rNWsFzN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xw6rvwAAAN0AAAAPAAAAAAAAAAAAAAAAAJgCAABkcnMvZG93bnJl&#10;di54bWxQSwUGAAAAAAQABAD1AAAAhAM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12" o:spid="_x0000_s1143" o:spt="1" style="position:absolute;left:12172;top:977;height:1982;width:59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rMMMA&#10;AADdAAAADwAAAGRycy9kb3ducmV2LnhtbESP3WoCMRSE7wu+QziCdzW7YousRimCoNIbVx/gsDn7&#10;Q5OTJYnu+vamUOjlMDPfMJvdaI14kA+dYwX5PANBXDndcaPgdj28r0CEiKzROCYFTwqw207eNlho&#10;N/CFHmVsRIJwKFBBG2NfSBmqliyGueuJk1c7bzEm6RupPQ4Jbo1cZNmntNhxWmixp31L1U95twrk&#10;tTwMq9L4zJ0X9bc5HS81OaVm0/FrDSLSGP/Df+2jVrD8y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urMMMAAADdAAAADwAAAAAAAAAAAAAAAACYAgAAZHJzL2Rv&#10;d25yZXYueG1sUEsFBgAAAAAEAAQA9QAAAIgDA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13" o:spid="_x0000_s1144" o:spt="1" style="position:absolute;left:12172;top:2647;height:1982;width:59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14" o:spid="_x0000_s1145" o:spt="1" style="position:absolute;left:12172;top:0;height:1981;width:59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15" o:spid="_x0000_s1146" o:spt="1" style="position:absolute;left:16300;top:1060;height:1981;width:838;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8IA&#10;AADcAAAADwAAAGRycy9kb3ducmV2LnhtbESPzYoCMRCE74LvEFrwphkV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n7wgAAANwAAAAPAAAAAAAAAAAAAAAAAJgCAABkcnMvZG93&#10;bnJldi54bWxQSwUGAAAAAAQABAD1AAAAhwM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16" o:spid="_x0000_s1147" o:spt="1" style="position:absolute;left:6819;top:1104;height:1982;width:839;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jMIA&#10;AADcAAAADwAAAGRycy9kb3ducmV2LnhtbESP3WoCMRSE7wu+QziCdzXrC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xeMwgAAANwAAAAPAAAAAAAAAAAAAAAAAJgCAABkcnMvZG93&#10;bnJldi54bWxQSwUGAAAAAAQABAD1AAAAhwM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17" o:spid="_x0000_s1148" o:spt="1" style="position:absolute;left:2781;top:1143;height:1981;width:83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YMYA&#10;AADcAAAADwAAAGRycy9kb3ducmV2LnhtbESPQWvCQBSE74L/YXmCF9FNFURjNiIFoQehmPagt0f2&#10;NZuafRuyW5P213cLBY/DzHzDZPvBNuJOna8dK3haJCCIS6drrhS8vx3nGxA+IGtsHJOCb/Kwz8ej&#10;DFPtej7TvQiViBD2KSowIbSplL40ZNEvXEscvQ/XWQxRdpXUHfYRbhu5TJK1tFhzXDDY0rOh8lZ8&#10;WQXH10tN/CPPs+2md5/l8lqYU6vUdDIcdiACDeER/m+/aAXb1Qr+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v/YMYAAADcAAAADwAAAAAAAAAAAAAAAACYAgAAZHJz&#10;L2Rvd25yZXYueG1sUEsFBgAAAAAEAAQA9QAAAIsDA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18" o:spid="_x0000_s1149" o:spt="1" style="position:absolute;left:17595;top:2438;height:2007;width:934;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v:path/>
                    <v:fill on="f" focussize="0,0"/>
                    <v:stroke on="f"/>
                    <v:imagedata o:title=""/>
                    <o:lock v:ext="edit" aspectratio="f"/>
                    <v:textbox inset="0mm,0mm,0mm,0mm" style="mso-fit-shape-to-text:t;">
                      <w:txbxContent>
                        <w:p>
                          <w:r>
                            <w:rPr>
                              <w:i/>
                              <w:iCs/>
                              <w:color w:val="000000"/>
                              <w:sz w:val="24"/>
                            </w:rPr>
                            <w:t>R</w:t>
                          </w:r>
                        </w:p>
                      </w:txbxContent>
                    </v:textbox>
                  </v:rect>
                  <v:rect id="Rectangle 19" o:spid="_x0000_s1150" o:spt="1" style="position:absolute;left:14566;top:2438;height:2007;width:597;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P+MIA&#10;AADcAAAADwAAAGRycy9kb3ducmV2LnhtbESP3WoCMRSE7wu+QziCdzWrU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4wgAAANwAAAAPAAAAAAAAAAAAAAAAAJgCAABkcnMvZG93&#10;bnJldi54bWxQSwUGAAAAAAQABAD1AAAAhwMAAAAA&#10;">
                    <v:path/>
                    <v:fill on="f" focussize="0,0"/>
                    <v:stroke on="f"/>
                    <v:imagedata o:title=""/>
                    <o:lock v:ext="edit" aspectratio="f"/>
                    <v:textbox inset="0mm,0mm,0mm,0mm" style="mso-fit-shape-to-text:t;">
                      <w:txbxContent>
                        <w:p>
                          <w:r>
                            <w:rPr>
                              <w:i/>
                              <w:iCs/>
                              <w:color w:val="000000"/>
                              <w:sz w:val="24"/>
                            </w:rPr>
                            <w:t>r</w:t>
                          </w:r>
                        </w:p>
                      </w:txbxContent>
                    </v:textbox>
                  </v:rect>
                  <v:rect id="Rectangle 20" o:spid="_x0000_s1151" o:spt="1" style="position:absolute;left:13906;top:273;height:2007;width:1105;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v:path/>
                    <v:fill on="f" focussize="0,0"/>
                    <v:stroke on="f"/>
                    <v:imagedata o:title=""/>
                    <o:lock v:ext="edit" aspectratio="f"/>
                    <v:textbox inset="0mm,0mm,0mm,0mm" style="mso-fit-shape-to-text:t;">
                      <w:txbxContent>
                        <w:p>
                          <w:r>
                            <w:rPr>
                              <w:i/>
                              <w:iCs/>
                              <w:color w:val="000000"/>
                              <w:sz w:val="24"/>
                            </w:rPr>
                            <w:t>Q</w:t>
                          </w:r>
                        </w:p>
                      </w:txbxContent>
                    </v:textbox>
                  </v:rect>
                  <v:rect id="Rectangle 21" o:spid="_x0000_s1152" o:spt="1" style="position:absolute;left:4559;top:1238;height:2007;width:85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v:path/>
                    <v:fill on="f" focussize="0,0"/>
                    <v:stroke on="f"/>
                    <v:imagedata o:title=""/>
                    <o:lock v:ext="edit" aspectratio="f"/>
                    <v:textbox inset="0mm,0mm,0mm,0mm" style="mso-fit-shape-to-text:t;">
                      <w:txbxContent>
                        <w:p>
                          <w:r>
                            <w:rPr>
                              <w:i/>
                              <w:iCs/>
                              <w:color w:val="000000"/>
                              <w:sz w:val="24"/>
                            </w:rPr>
                            <w:t>L</w:t>
                          </w:r>
                        </w:p>
                      </w:txbxContent>
                    </v:textbox>
                  </v:rect>
                  <v:rect id="Rectangle 22" o:spid="_x0000_s1153" o:spt="1" style="position:absolute;left:279;top:1238;height:2007;width:85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gZr4A&#10;AADcAAAADwAAAGRycy9kb3ducmV2LnhtbERPy4rCMBTdC/5DuII7TUdB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fIGa+AAAA3AAAAA8AAAAAAAAAAAAAAAAAmAIAAGRycy9kb3ducmV2&#10;LnhtbFBLBQYAAAAABAAEAPUAAACDAwAAAAA=&#10;">
                    <v:path/>
                    <v:fill on="f" focussize="0,0"/>
                    <v:stroke on="f"/>
                    <v:imagedata o:title=""/>
                    <o:lock v:ext="edit" aspectratio="f"/>
                    <v:textbox inset="0mm,0mm,0mm,0mm" style="mso-fit-shape-to-text:t;">
                      <w:txbxContent>
                        <w:p>
                          <w:r>
                            <w:rPr>
                              <w:i/>
                              <w:iCs/>
                              <w:color w:val="000000"/>
                              <w:sz w:val="24"/>
                            </w:rPr>
                            <w:t>L</w:t>
                          </w:r>
                        </w:p>
                      </w:txbxContent>
                    </v:textbox>
                  </v:rect>
                  <v:rect id="Rectangle 23" o:spid="_x0000_s1154" o:spt="1" style="position:absolute;left:5385;top:2184;height:2007;width:597;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F/cIA&#10;AADcAAAADwAAAGRycy9kb3ducmV2LnhtbESPzYoCMRCE74LvEFrwphkV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4X9wgAAANwAAAAPAAAAAAAAAAAAAAAAAJgCAABkcnMvZG93&#10;bnJldi54bWxQSwUGAAAAAAQABAD1AAAAhwMAAAAA&#10;">
                    <v:path/>
                    <v:fill on="f" focussize="0,0"/>
                    <v:stroke on="f"/>
                    <v:imagedata o:title=""/>
                    <o:lock v:ext="edit" aspectratio="f"/>
                    <v:textbox inset="0mm,0mm,0mm,0mm" style="mso-fit-shape-to-text:t;">
                      <w:txbxContent>
                        <w:p>
                          <w:r>
                            <w:rPr>
                              <w:i/>
                              <w:iCs/>
                              <w:color w:val="000000"/>
                              <w:sz w:val="14"/>
                              <w:szCs w:val="14"/>
                            </w:rPr>
                            <w:t>w</w:t>
                          </w:r>
                        </w:p>
                      </w:txbxContent>
                    </v:textbox>
                  </v:rect>
                  <v:rect id="Rectangle 24" o:spid="_x0000_s1155" o:spt="1" style="position:absolute;left:1143;top:2133;height:1867;width:118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MucEA&#10;AADcAAAADwAAAGRycy9kb3ducmV2LnhtbERPy4rCMBTdC/5DuII7TRUR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PDLnBAAAA3AAAAA8AAAAAAAAAAAAAAAAAmAIAAGRycy9kb3du&#10;cmV2LnhtbFBLBQYAAAAABAAEAPUAAACGAwAAAAA=&#10;">
                    <v:path/>
                    <v:fill on="f" focussize="0,0"/>
                    <v:stroke on="f"/>
                    <v:imagedata o:title=""/>
                    <o:lock v:ext="edit" aspectratio="f"/>
                    <v:textbox inset="0mm,0mm,0mm,0mm">
                      <w:txbxContent>
                        <w:p>
                          <w:r>
                            <w:rPr>
                              <w:i/>
                              <w:iCs/>
                              <w:color w:val="000000"/>
                              <w:sz w:val="14"/>
                              <w:szCs w:val="14"/>
                            </w:rPr>
                            <w:t>P</w:t>
                          </w:r>
                          <w:r>
                            <w:rPr>
                              <w:rFonts w:hint="eastAsia"/>
                              <w:i/>
                              <w:iCs/>
                              <w:color w:val="000000"/>
                              <w:sz w:val="14"/>
                              <w:szCs w:val="14"/>
                            </w:rPr>
                            <w:t>1</w:t>
                          </w:r>
                        </w:p>
                      </w:txbxContent>
                    </v:textbox>
                  </v:rect>
                  <v:rect id="Rectangle 25" o:spid="_x0000_s1156" o:spt="1" style="position:absolute;left:13068;top:2438;height:1981;width:768;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6hsIA&#10;AADcAAAADwAAAGRycy9kb3ducmV2LnhtbESPzYoCMRCE74LvEFrwphlF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qGwgAAANwAAAAPAAAAAAAAAAAAAAAAAJgCAABkcnMvZG93&#10;bnJldi54bWxQSwUGAAAAAAQABAD1AAAAhwMAAAAA&#10;">
                    <v:path/>
                    <v:fill on="f" focussize="0,0"/>
                    <v:stroke on="f"/>
                    <v:imagedata o:title=""/>
                    <o:lock v:ext="edit" aspectratio="f"/>
                    <v:textbox inset="0mm,0mm,0mm,0mm" style="mso-fit-shape-to-text:t;">
                      <w:txbxContent>
                        <w:p>
                          <w:r>
                            <w:rPr>
                              <w:color w:val="000000"/>
                              <w:sz w:val="24"/>
                            </w:rPr>
                            <w:t>4</w:t>
                          </w:r>
                        </w:p>
                      </w:txbxContent>
                    </v:textbox>
                  </v:rect>
                  <v:rect id="Rectangle 26" o:spid="_x0000_s1157" o:spt="1" style="position:absolute;left:9677;top:1085;height:2534;width:137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3VcYA&#10;AADcAAAADwAAAGRycy9kb3ducmV2LnhtbESPQWvCQBSE7wX/w/KE3uqmQ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E3VcYAAADcAAAADwAAAAAAAAAAAAAAAACYAgAAZHJz&#10;L2Rvd25yZXYueG1sUEsFBgAAAAAEAAQA9QAAAIsDAAAAAA==&#10;">
                    <v:path/>
                    <v:fill on="f" focussize="0,0"/>
                    <v:stroke on="f"/>
                    <v:imagedata o:title=""/>
                    <o:lock v:ext="edit" aspectratio="f"/>
                    <v:textbox inset="0mm,0mm,0mm,0mm">
                      <w:txbxContent>
                        <w:p>
                          <w:r>
                            <w:rPr>
                              <w:color w:val="000000"/>
                              <w:sz w:val="24"/>
                            </w:rPr>
                            <w:t>lg</w:t>
                          </w:r>
                        </w:p>
                      </w:txbxContent>
                    </v:textbox>
                  </v:rect>
                  <v:rect id="Rectangle 27" o:spid="_x0000_s1158" o:spt="1" style="position:absolute;left:7924;top:1352;height:1981;width:153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BasIA&#10;AADcAAAADwAAAGRycy9kb3ducmV2LnhtbESP3WoCMRSE7wu+QziCdzWrF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cFqwgAAANwAAAAPAAAAAAAAAAAAAAAAAJgCAABkcnMvZG93&#10;bnJldi54bWxQSwUGAAAAAAQABAD1AAAAhwMAAAAA&#10;">
                    <v:path/>
                    <v:fill on="f" focussize="0,0"/>
                    <v:stroke on="f"/>
                    <v:imagedata o:title=""/>
                    <o:lock v:ext="edit" aspectratio="f"/>
                    <v:textbox inset="0mm,0mm,0mm,0mm" style="mso-fit-shape-to-text:t;">
                      <w:txbxContent>
                        <w:p>
                          <w:r>
                            <w:rPr>
                              <w:color w:val="000000"/>
                              <w:sz w:val="24"/>
                            </w:rPr>
                            <w:t>10</w:t>
                          </w:r>
                        </w:p>
                      </w:txbxContent>
                    </v:textbox>
                  </v:rect>
                  <v:rect id="Rectangle 28" o:spid="_x0000_s1159" o:spt="1" style="position:absolute;left:15322;top:2311;height:1981;width:45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ZHsIA&#10;AADcAAAADwAAAGRycy9kb3ducmV2LnhtbESPzYoCMRCE7wu+Q2jB25pRZ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FkewgAAANwAAAAPAAAAAAAAAAAAAAAAAJgCAABkcnMvZG93&#10;bnJldi54bWxQSwUGAAAAAAQABAD1AAAAhwMAAAAA&#10;">
                    <v:path/>
                    <v:fill on="f" focussize="0,0"/>
                    <v:stroke on="f"/>
                    <v:imagedata o:title=""/>
                    <o:lock v:ext="edit" aspectratio="f"/>
                    <v:textbox inset="0mm,0mm,0mm,0mm" style="mso-fit-shape-to-text:t;">
                      <w:txbxContent>
                        <w:p>
                          <w:pPr>
                            <w:jc w:val="center"/>
                          </w:pPr>
                          <w:r>
                            <w:rPr>
                              <w:color w:val="000000"/>
                              <w:sz w:val="14"/>
                              <w:szCs w:val="14"/>
                            </w:rPr>
                            <w:t>2</w:t>
                          </w:r>
                        </w:p>
                      </w:txbxContent>
                    </v:textbox>
                  </v:rect>
                  <v:rect id="Rectangle 29" o:spid="_x0000_s1160" o:spt="1" style="position:absolute;left:13735;top:2260;height:2006;width:832;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8hcIA&#10;AADcAAAADwAAAGRycy9kb3ducmV2LnhtbESP3WoCMRSE7wu+QziCdzWrWN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PyFwgAAANwAAAAPAAAAAAAAAAAAAAAAAJgCAABkcnMvZG93&#10;bnJldi54bWxQSwUGAAAAAAQABAD1AAAAhwMAAAAA&#10;">
                    <v:path/>
                    <v:fill on="f" focussize="0,0"/>
                    <v:stroke on="f"/>
                    <v:imagedata o:title=""/>
                    <o:lock v:ext="edit" aspectratio="f"/>
                    <v:textbox inset="0mm,0mm,0mm,0mm" style="mso-fit-shape-to-text:t;">
                      <w:txbxContent>
                        <w:p>
                          <w:r>
                            <w:rPr>
                              <w:rFonts w:ascii="Symbol" w:hAnsi="Symbol" w:cs="Symbol"/>
                              <w:i/>
                              <w:iCs/>
                              <w:color w:val="000000"/>
                              <w:sz w:val="24"/>
                            </w:rPr>
                            <w:t></w:t>
                          </w:r>
                        </w:p>
                      </w:txbxContent>
                    </v:textbox>
                  </v:rect>
                  <v:rect id="Rectangle 30" o:spid="_x0000_s1161" o:spt="1" style="position:absolute;left:17621;top:361;height:3150;width:195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VsUA&#10;AADcAAAADwAAAGRycy9kb3ducmV2LnhtbESPT4vCMBTE78J+h/AWvGmqi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jFWxQAAANwAAAAPAAAAAAAAAAAAAAAAAJgCAABkcnMv&#10;ZG93bnJldi54bWxQSwUGAAAAAAQABAD1AAAAigMAAAAA&#10;">
                    <v:path/>
                    <v:fill on="f" focussize="0,0"/>
                    <v:stroke on="f"/>
                    <v:imagedata o:title=""/>
                    <o:lock v:ext="edit" aspectratio="f"/>
                    <v:textbox inset="0mm,0mm,0mm,0mm">
                      <w:txbxContent>
                        <w:p>
                          <w:pPr>
                            <w:rPr>
                              <w:i/>
                              <w:iCs/>
                              <w:color w:val="000000"/>
                              <w:sz w:val="24"/>
                            </w:rPr>
                          </w:pPr>
                          <w:r>
                            <w:rPr>
                              <w:rFonts w:hint="eastAsia"/>
                              <w:color w:val="000000"/>
                              <w:sz w:val="24"/>
                            </w:rPr>
                            <w:t>4</w:t>
                          </w:r>
                        </w:p>
                        <w:p/>
                      </w:txbxContent>
                    </v:textbox>
                  </v:rect>
                  <w10:wrap type="none"/>
                  <w10:anchorlock/>
                </v:group>
              </w:pict>
            </w:r>
          </w:p>
          <w:p>
            <w:pPr>
              <w:spacing w:line="360" w:lineRule="auto"/>
              <w:ind w:firstLine="480" w:firstLineChars="200"/>
              <w:rPr>
                <w:rFonts w:eastAsiaTheme="minorEastAsia"/>
                <w:color w:val="auto"/>
                <w:sz w:val="24"/>
              </w:rPr>
            </w:pPr>
            <w:r>
              <w:rPr>
                <w:rFonts w:hint="eastAsia" w:eastAsiaTheme="minorEastAsia"/>
                <w:color w:val="auto"/>
                <w:sz w:val="24"/>
              </w:rPr>
              <w:t>式中：</w:t>
            </w:r>
            <w:r>
              <w:rPr>
                <w:rFonts w:eastAsiaTheme="minorEastAsia"/>
                <w:color w:val="auto"/>
                <w:sz w:val="24"/>
              </w:rPr>
              <w:t>Lp1—</w:t>
            </w:r>
            <w:r>
              <w:rPr>
                <w:rFonts w:hint="eastAsia" w:eastAsiaTheme="minorEastAsia"/>
                <w:color w:val="auto"/>
                <w:sz w:val="24"/>
              </w:rPr>
              <w:t>为某个室内声源在靠近围护结构处产生的倍频带声压级，</w:t>
            </w:r>
            <w:r>
              <w:rPr>
                <w:rFonts w:eastAsiaTheme="minorEastAsia"/>
                <w:color w:val="auto"/>
                <w:sz w:val="24"/>
              </w:rPr>
              <w:t>dB;</w:t>
            </w:r>
          </w:p>
          <w:p>
            <w:pPr>
              <w:spacing w:line="360" w:lineRule="auto"/>
              <w:ind w:firstLine="480" w:firstLineChars="200"/>
              <w:rPr>
                <w:rFonts w:eastAsiaTheme="minorEastAsia"/>
                <w:color w:val="auto"/>
                <w:sz w:val="24"/>
              </w:rPr>
            </w:pPr>
            <w:r>
              <w:rPr>
                <w:rFonts w:eastAsiaTheme="minorEastAsia"/>
                <w:color w:val="auto"/>
                <w:sz w:val="24"/>
              </w:rPr>
              <w:t>Lw —</w:t>
            </w:r>
            <w:r>
              <w:rPr>
                <w:rFonts w:hint="eastAsia" w:eastAsiaTheme="minorEastAsia"/>
                <w:color w:val="auto"/>
                <w:sz w:val="24"/>
              </w:rPr>
              <w:t>为某个声源的倍频带声功率级，</w:t>
            </w:r>
            <w:r>
              <w:rPr>
                <w:rFonts w:eastAsiaTheme="minorEastAsia"/>
                <w:color w:val="auto"/>
                <w:sz w:val="24"/>
              </w:rPr>
              <w:t>dB</w:t>
            </w:r>
            <w:r>
              <w:rPr>
                <w:rFonts w:hint="eastAsia" w:eastAsiaTheme="minorEastAsia"/>
                <w:color w:val="auto"/>
                <w:sz w:val="24"/>
              </w:rPr>
              <w:t>；</w:t>
            </w:r>
          </w:p>
          <w:p>
            <w:pPr>
              <w:spacing w:line="360" w:lineRule="auto"/>
              <w:ind w:firstLine="480" w:firstLineChars="200"/>
              <w:rPr>
                <w:rFonts w:eastAsiaTheme="minorEastAsia"/>
                <w:color w:val="auto"/>
                <w:sz w:val="24"/>
              </w:rPr>
            </w:pPr>
            <w:r>
              <w:rPr>
                <w:rFonts w:eastAsiaTheme="minorEastAsia"/>
                <w:color w:val="auto"/>
                <w:sz w:val="24"/>
              </w:rPr>
              <w:t>r—</w:t>
            </w:r>
            <w:r>
              <w:rPr>
                <w:rFonts w:hint="eastAsia" w:eastAsiaTheme="minorEastAsia"/>
                <w:color w:val="auto"/>
                <w:sz w:val="24"/>
              </w:rPr>
              <w:t>为室内某个声源与靠近围护结构处的距离，</w:t>
            </w:r>
            <w:r>
              <w:rPr>
                <w:rFonts w:eastAsiaTheme="minorEastAsia"/>
                <w:color w:val="auto"/>
                <w:sz w:val="24"/>
              </w:rPr>
              <w:t>m</w:t>
            </w:r>
            <w:r>
              <w:rPr>
                <w:rFonts w:hint="eastAsia" w:eastAsiaTheme="minorEastAsia"/>
                <w:color w:val="auto"/>
                <w:sz w:val="24"/>
              </w:rPr>
              <w:t>；</w:t>
            </w:r>
          </w:p>
          <w:p>
            <w:pPr>
              <w:spacing w:line="360" w:lineRule="auto"/>
              <w:ind w:firstLine="480" w:firstLineChars="200"/>
              <w:rPr>
                <w:rFonts w:eastAsiaTheme="minorEastAsia"/>
                <w:color w:val="auto"/>
                <w:sz w:val="24"/>
              </w:rPr>
            </w:pPr>
            <w:r>
              <w:rPr>
                <w:rFonts w:eastAsiaTheme="minorEastAsia"/>
                <w:color w:val="auto"/>
                <w:sz w:val="24"/>
              </w:rPr>
              <w:t>R—</w:t>
            </w:r>
            <w:r>
              <w:rPr>
                <w:rFonts w:hint="eastAsia" w:eastAsiaTheme="minorEastAsia"/>
                <w:color w:val="auto"/>
                <w:sz w:val="24"/>
              </w:rPr>
              <w:t>房间常数，</w:t>
            </w:r>
            <w:r>
              <w:rPr>
                <w:rFonts w:eastAsiaTheme="minorEastAsia"/>
                <w:color w:val="auto"/>
                <w:sz w:val="24"/>
              </w:rPr>
              <w:t>m</w:t>
            </w:r>
            <w:r>
              <w:rPr>
                <w:rFonts w:eastAsiaTheme="minorEastAsia"/>
                <w:color w:val="auto"/>
                <w:sz w:val="24"/>
                <w:vertAlign w:val="superscript"/>
              </w:rPr>
              <w:t>2</w:t>
            </w:r>
            <w:r>
              <w:rPr>
                <w:rFonts w:eastAsiaTheme="minorEastAsia"/>
                <w:color w:val="auto"/>
                <w:sz w:val="24"/>
              </w:rPr>
              <w:t>;  R=Sа/(1</w:t>
            </w:r>
            <w:r>
              <w:rPr>
                <w:rFonts w:hint="eastAsia" w:eastAsiaTheme="minorEastAsia"/>
                <w:color w:val="auto"/>
                <w:sz w:val="24"/>
              </w:rPr>
              <w:t>－</w:t>
            </w:r>
            <w:r>
              <w:rPr>
                <w:rFonts w:eastAsiaTheme="minorEastAsia"/>
                <w:color w:val="auto"/>
                <w:sz w:val="24"/>
              </w:rPr>
              <w:t>а),S</w:t>
            </w:r>
            <w:r>
              <w:rPr>
                <w:rFonts w:hint="eastAsia" w:eastAsiaTheme="minorEastAsia"/>
                <w:color w:val="auto"/>
                <w:sz w:val="24"/>
              </w:rPr>
              <w:t>为房间内表面积，</w:t>
            </w:r>
            <w:r>
              <w:rPr>
                <w:rFonts w:eastAsiaTheme="minorEastAsia"/>
                <w:color w:val="auto"/>
                <w:sz w:val="24"/>
              </w:rPr>
              <w:t>а</w:t>
            </w:r>
            <w:r>
              <w:rPr>
                <w:rFonts w:hint="eastAsia" w:eastAsiaTheme="minorEastAsia"/>
                <w:color w:val="auto"/>
                <w:sz w:val="24"/>
              </w:rPr>
              <w:t>为平均吸声系数。</w:t>
            </w:r>
          </w:p>
          <w:p>
            <w:pPr>
              <w:spacing w:line="360" w:lineRule="auto"/>
              <w:ind w:firstLine="480" w:firstLineChars="200"/>
              <w:rPr>
                <w:rFonts w:eastAsiaTheme="minorEastAsia"/>
                <w:color w:val="auto"/>
                <w:sz w:val="24"/>
              </w:rPr>
            </w:pPr>
            <w:r>
              <w:rPr>
                <w:rFonts w:eastAsiaTheme="minorEastAsia"/>
                <w:color w:val="auto"/>
                <w:sz w:val="24"/>
              </w:rPr>
              <w:t>Q—</w:t>
            </w:r>
            <w:r>
              <w:rPr>
                <w:rFonts w:hint="eastAsia" w:eastAsiaTheme="minorEastAsia"/>
                <w:color w:val="auto"/>
                <w:sz w:val="24"/>
              </w:rPr>
              <w:t>方向因子</w:t>
            </w:r>
            <w:r>
              <w:rPr>
                <w:rFonts w:eastAsiaTheme="minorEastAsia"/>
                <w:color w:val="auto"/>
                <w:sz w:val="24"/>
              </w:rPr>
              <w:t>,</w:t>
            </w:r>
            <w:r>
              <w:rPr>
                <w:rFonts w:hint="eastAsia" w:eastAsiaTheme="minorEastAsia"/>
                <w:color w:val="auto"/>
                <w:sz w:val="24"/>
              </w:rPr>
              <w:t>无量纲值。通常对无指向性声源，当声源放在房间中心时，</w:t>
            </w:r>
            <w:r>
              <w:rPr>
                <w:rFonts w:eastAsiaTheme="minorEastAsia"/>
                <w:color w:val="auto"/>
                <w:sz w:val="24"/>
              </w:rPr>
              <w:t>Q=1</w:t>
            </w:r>
            <w:r>
              <w:rPr>
                <w:rFonts w:hint="eastAsia" w:eastAsiaTheme="minorEastAsia"/>
                <w:color w:val="auto"/>
                <w:sz w:val="24"/>
              </w:rPr>
              <w:t>；当放在一面墙的中心时，</w:t>
            </w:r>
            <w:r>
              <w:rPr>
                <w:rFonts w:eastAsiaTheme="minorEastAsia"/>
                <w:color w:val="auto"/>
                <w:sz w:val="24"/>
              </w:rPr>
              <w:t>Q=2</w:t>
            </w:r>
            <w:r>
              <w:rPr>
                <w:rFonts w:hint="eastAsia" w:eastAsiaTheme="minorEastAsia"/>
                <w:color w:val="auto"/>
                <w:sz w:val="24"/>
              </w:rPr>
              <w:t>；当放在两面墙夹角时，</w:t>
            </w:r>
            <w:r>
              <w:rPr>
                <w:rFonts w:eastAsiaTheme="minorEastAsia"/>
                <w:color w:val="auto"/>
                <w:sz w:val="24"/>
              </w:rPr>
              <w:t>Q=4</w:t>
            </w:r>
            <w:r>
              <w:rPr>
                <w:rFonts w:hint="eastAsia" w:eastAsiaTheme="minorEastAsia"/>
                <w:color w:val="auto"/>
                <w:sz w:val="24"/>
              </w:rPr>
              <w:t>；当放在三面墙夹角处时，</w:t>
            </w:r>
            <w:r>
              <w:rPr>
                <w:rFonts w:eastAsiaTheme="minorEastAsia"/>
                <w:color w:val="auto"/>
                <w:sz w:val="24"/>
              </w:rPr>
              <w:t>Q=8</w:t>
            </w:r>
            <w:r>
              <w:rPr>
                <w:rFonts w:hint="eastAsia" w:eastAsiaTheme="minorEastAsia"/>
                <w:color w:val="auto"/>
                <w:sz w:val="24"/>
              </w:rPr>
              <w:t>。</w:t>
            </w:r>
          </w:p>
          <w:p>
            <w:pPr>
              <w:spacing w:line="360" w:lineRule="auto"/>
              <w:ind w:firstLine="480" w:firstLineChars="200"/>
              <w:rPr>
                <w:rFonts w:eastAsiaTheme="minorEastAsia"/>
                <w:color w:val="auto"/>
                <w:sz w:val="24"/>
              </w:rPr>
            </w:pPr>
            <w:r>
              <w:rPr>
                <w:rFonts w:hint="eastAsia" w:eastAsiaTheme="minorEastAsia"/>
                <w:color w:val="auto"/>
                <w:sz w:val="24"/>
              </w:rPr>
              <w:t>②计算出所有室内声源在靠近围护结构处产生的总倍频带声压级：</w:t>
            </w:r>
          </w:p>
          <w:p>
            <w:pPr>
              <w:spacing w:line="360" w:lineRule="auto"/>
              <w:ind w:firstLine="2520" w:firstLineChars="1050"/>
              <w:rPr>
                <w:rFonts w:eastAsiaTheme="minorEastAsia"/>
                <w:color w:val="auto"/>
                <w:sz w:val="24"/>
              </w:rPr>
            </w:pPr>
            <w:r>
              <w:rPr>
                <w:rFonts w:eastAsiaTheme="minorEastAsia"/>
                <w:color w:val="auto"/>
                <w:sz w:val="24"/>
              </w:rPr>
              <w:pict>
                <v:group id="画布 771" o:spid="_x0000_s1105" o:spt="203" style="height:43.35pt;width:142.85pt;" coordsize="18141,5505" editas="canvas">
                  <o:lock v:ext="edit"/>
                  <v:shape id="画布 771" o:spid="_x0000_s1106" o:spt="75" type="#_x0000_t75" style="position:absolute;left:0;top:0;height:5505;width:18141;" filled="f" stroked="f" coordsize="21600,21600">
                    <v:path/>
                    <v:fill on="f" focussize="0,0"/>
                    <v:stroke on="f"/>
                    <v:imagedata o:title=""/>
                    <o:lock v:ext="edit" aspectratio="t"/>
                  </v:shape>
                  <v:rect id="Rectangle 33" o:spid="_x0000_s1107" o:spt="1" style="position:absolute;left:17474;top:1468;height:1984;width:59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34" o:spid="_x0000_s1108" o:spt="1" style="position:absolute;left:17474;top:2440;height:1984;width:59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35" o:spid="_x0000_s1109" o:spt="1" style="position:absolute;left:17474;top:0;height:1983;width:59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36" o:spid="_x0000_s1110" o:spt="1" style="position:absolute;left:9496;top:1468;height:1984;width:590;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37" o:spid="_x0000_s1111" o:spt="1" style="position:absolute;left:9496;top:2440;height:1984;width:590;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38" o:spid="_x0000_s1112" o:spt="1" style="position:absolute;left:9496;top:0;height:1983;width:590;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v:path/>
                    <v:fill on="f" focussize="0,0"/>
                    <v:stroke on="f"/>
                    <v:imagedata o:title=""/>
                    <o:lock v:ext="edit" aspectratio="f"/>
                    <v:textbox inset="0mm,0mm,0mm,0mm" style="mso-fit-shape-to-text:t;">
                      <w:txbxContent>
                        <w:p>
                          <w:r>
                            <w:rPr>
                              <w:rFonts w:ascii="Symbol" w:hAnsi="Symbol" w:cs="Symbol"/>
                              <w:color w:val="000000"/>
                              <w:sz w:val="24"/>
                            </w:rPr>
                            <w:t></w:t>
                          </w:r>
                        </w:p>
                      </w:txbxContent>
                    </v:textbox>
                  </v:rect>
                  <v:rect id="Rectangle 39" o:spid="_x0000_s1113" o:spt="1" style="position:absolute;left:5475;top:953;height:1983;width:838;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v:path/>
                    <v:fill on="f" focussize="0,0"/>
                    <v:stroke on="f"/>
                    <v:imagedata o:title=""/>
                    <o:lock v:ext="edit" aspectratio="f"/>
                    <v:textbox inset="0mm,0mm,0mm,0mm" style="mso-fit-shape-to-text:t;">
                      <w:txbxContent>
                        <w:p>
                          <w:pPr>
                            <w:jc w:val="center"/>
                          </w:pPr>
                          <w:r>
                            <w:rPr>
                              <w:rFonts w:ascii="Symbol" w:hAnsi="Symbol" w:cs="Symbol"/>
                              <w:color w:val="000000"/>
                              <w:sz w:val="24"/>
                            </w:rPr>
                            <w:t></w:t>
                          </w:r>
                        </w:p>
                      </w:txbxContent>
                    </v:textbox>
                  </v:rect>
                  <v:rect id="Rectangle 40" o:spid="_x0000_s1114" o:spt="1" style="position:absolute;left:10105;top:539;height:3968;width:1633;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vXcMA&#10;AADdAAAADwAAAGRycy9kb3ducmV2LnhtbESP3WoCMRSE74W+QzhC7zTrIrJsjSKCYKU3rj7AYXP2&#10;hyYnS5K627c3hYKXw8x8w2z3kzXiQT70jhWslhkI4trpnlsF99tpUYAIEVmjcUwKfinAfvc222Kp&#10;3chXelSxFQnCoUQFXYxDKWWoO7IYlm4gTl7jvMWYpG+l9jgmuDUyz7KNtNhzWuhwoGNH9Xf1YxXI&#10;W3Uai8r4zF3y5st8nq8NOaXe59PhA0SkKb7C/+2zVrBeFz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vXcMAAADdAAAADwAAAAAAAAAAAAAAAACYAgAAZHJzL2Rv&#10;d25yZXYueG1sUEsFBgAAAAAEAAQA9QAAAIgDAAAAAA==&#10;">
                    <v:path/>
                    <v:fill on="f" focussize="0,0"/>
                    <v:stroke on="f"/>
                    <v:imagedata o:title=""/>
                    <o:lock v:ext="edit" aspectratio="f"/>
                    <v:textbox inset="0mm,0mm,0mm,0mm" style="mso-fit-shape-to-text:t;">
                      <w:txbxContent>
                        <w:p>
                          <w:r>
                            <w:rPr>
                              <w:rFonts w:ascii="Symbol" w:hAnsi="Symbol" w:cs="Symbol"/>
                              <w:color w:val="000000"/>
                              <w:sz w:val="36"/>
                              <w:szCs w:val="36"/>
                            </w:rPr>
                            <w:t></w:t>
                          </w:r>
                        </w:p>
                      </w:txbxContent>
                    </v:textbox>
                  </v:rect>
                  <v:rect id="Rectangle 41" o:spid="_x0000_s1115" o:spt="1" style="position:absolute;left:10659;top:3070;height:1983;width:489;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SssMA&#10;AADdAAAADwAAAGRycy9kb3ducmV2LnhtbESP3WoCMRSE7wXfIZxC7zRbWWRZjSKCYEtvXH2Aw+bs&#10;DyYnSxLd7ds3hYKXw8x8w2z3kzXiST70jhV8LDMQxLXTPbcKbtfTogARIrJG45gU/FCA/W4+22Kp&#10;3cgXelaxFQnCoUQFXYxDKWWoO7IYlm4gTl7jvMWYpG+l9jgmuDVylWVrabHntNDhQMeO6nv1sArk&#10;tTqNRWV85r5Wzbf5PF8ackq9v02HDYhIU3yF/9tnrSDPixz+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eSssMAAADdAAAADwAAAAAAAAAAAAAAAACYAgAAZHJzL2Rv&#10;d25yZXYueG1sUEsFBgAAAAAEAAQA9QAAAIgDAAAAAA==&#10;">
                    <v:path/>
                    <v:fill on="f" focussize="0,0"/>
                    <v:stroke on="f"/>
                    <v:imagedata o:title=""/>
                    <o:lock v:ext="edit" aspectratio="f"/>
                    <v:textbox inset="0mm,0mm,0mm,0mm" style="mso-fit-shape-to-text:t;">
                      <w:txbxContent>
                        <w:p>
                          <w:r>
                            <w:rPr>
                              <w:rFonts w:ascii="Symbol" w:hAnsi="Symbol" w:cs="Symbol"/>
                              <w:color w:val="000000"/>
                              <w:sz w:val="14"/>
                              <w:szCs w:val="14"/>
                            </w:rPr>
                            <w:t></w:t>
                          </w:r>
                        </w:p>
                      </w:txbxContent>
                    </v:textbox>
                  </v:rect>
                  <v:rect id="Rectangle 42" o:spid="_x0000_s1116" o:spt="1" style="position:absolute;left:10140;top:127;height:2006;width:59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3KcMA&#10;AADdAAAADwAAAGRycy9kb3ducmV2LnhtbESP3WoCMRSE7wXfIRyhd5pVrC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s3KcMAAADdAAAADwAAAAAAAAAAAAAAAACYAgAAZHJzL2Rv&#10;d25yZXYueG1sUEsFBgAAAAAEAAQA9QAAAIgDAAAAAA==&#10;">
                    <v:path/>
                    <v:fill on="f" focussize="0,0"/>
                    <v:stroke on="f"/>
                    <v:imagedata o:title=""/>
                    <o:lock v:ext="edit" aspectratio="f"/>
                    <v:textbox inset="0mm,0mm,0mm,0mm" style="mso-fit-shape-to-text:t;">
                      <w:txbxContent>
                        <w:p>
                          <w:r>
                            <w:rPr>
                              <w:i/>
                              <w:iCs/>
                              <w:color w:val="000000"/>
                              <w:sz w:val="14"/>
                              <w:szCs w:val="14"/>
                            </w:rPr>
                            <w:t>N</w:t>
                          </w:r>
                        </w:p>
                      </w:txbxContent>
                    </v:textbox>
                  </v:rect>
                  <v:rect id="Rectangle 43" o:spid="_x0000_s1117" o:spt="1" style="position:absolute;left:10204;top:3054;height:2007;width:248;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mpXsIA&#10;AADdAAAADwAAAGRycy9kb3ducmV2LnhtbESP3YrCMBSE7xd8h3AE79ZUESldo4ggqHhj3Qc4NKc/&#10;mJyUJNru22+Ehb0cZuYbZrMbrREv8qFzrGAxz0AQV0533Cj4vh8/cxAhIms0jknBDwXYbScfGyy0&#10;G/hGrzI2IkE4FKigjbEvpAxVSxbD3PXEyaudtxiT9I3UHocEt0Yus2wtLXacFlrs6dBS9SifVoG8&#10;l8chL43P3GVZX835dKvJKTWbjvsvEJHG+B/+a5+0gtUqX8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alewgAAAN0AAAAPAAAAAAAAAAAAAAAAAJgCAABkcnMvZG93&#10;bnJldi54bWxQSwUGAAAAAAQABAD1AAAAhwMAAAAA&#10;">
                    <v:path/>
                    <v:fill on="f" focussize="0,0"/>
                    <v:stroke on="f"/>
                    <v:imagedata o:title=""/>
                    <o:lock v:ext="edit" aspectratio="f"/>
                    <v:textbox inset="0mm,0mm,0mm,0mm" style="mso-fit-shape-to-text:t;">
                      <w:txbxContent>
                        <w:p>
                          <w:r>
                            <w:rPr>
                              <w:rFonts w:hint="eastAsia"/>
                              <w:i/>
                              <w:iCs/>
                              <w:color w:val="000000"/>
                              <w:sz w:val="14"/>
                              <w:szCs w:val="14"/>
                            </w:rPr>
                            <w:t>j</w:t>
                          </w:r>
                        </w:p>
                      </w:txbxContent>
                    </v:textbox>
                  </v:rect>
                  <v:rect id="Rectangle 44" o:spid="_x0000_s1118" o:spt="1" style="position:absolute;left:14357;top:832;height:2006;width:495;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MxcMA&#10;AADdAAAADwAAAGRycy9kb3ducmV2LnhtbESP3WoCMRSE7wXfIRyhd5pVpC6rUYog2NIbVx/gsDn7&#10;Q5OTJUnd7ds3guDlMDPfMLvDaI24kw+dYwXLRQaCuHK640bB7Xqa5yBCRNZoHJOCPwpw2E8nOyy0&#10;G/hC9zI2IkE4FKigjbEvpAxVSxbDwvXEyaudtxiT9I3UHocEt0ausuxdWuw4LbTY07Gl6qf8tQrk&#10;tTwNeWl85r5W9bf5PF9qckq9zcaPLYhIY3yFn+2zVrBe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UMxcMAAADdAAAADwAAAAAAAAAAAAAAAACYAgAAZHJzL2Rv&#10;d25yZXYueG1sUEsFBgAAAAAEAAQA9QAAAIgDAAAAAA==&#10;">
                    <v:path/>
                    <v:fill on="f" focussize="0,0"/>
                    <v:stroke on="f"/>
                    <v:imagedata o:title=""/>
                    <o:lock v:ext="edit" aspectratio="f"/>
                    <v:textbox inset="0mm,0mm,0mm,0mm" style="mso-fit-shape-to-text:t;">
                      <w:txbxContent>
                        <w:p>
                          <w:r>
                            <w:rPr>
                              <w:i/>
                              <w:iCs/>
                              <w:color w:val="000000"/>
                              <w:sz w:val="14"/>
                              <w:szCs w:val="14"/>
                            </w:rPr>
                            <w:t>L</w:t>
                          </w:r>
                        </w:p>
                      </w:txbxContent>
                    </v:textbox>
                  </v:rect>
                  <v:rect id="Rectangle 45" o:spid="_x0000_s1119" o:spt="1" style="position:absolute;left:1117;top:2084;height:2334;width:162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8QA&#10;AADdAAAADwAAAGRycy9kb3ducmV2LnhtbERPTWvCQBC9F/wPywjemk2LSEyzCaIVPbZaUG9DdpqE&#10;ZmdDdjXRX989FHp8vO+sGE0rbtS7xrKClygGQVxa3XCl4Ou4fU5AOI+ssbVMCu7koMgnTxmm2g78&#10;SbeDr0QIYZeigtr7LpXSlTUZdJHtiAP3bXuDPsC+krrHIYSbVr7G8UIabDg01NjRuqby53A1CnZJ&#10;tzrv7WOo2vfL7vRxWm6OS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v/EAAAA3QAAAA8AAAAAAAAAAAAAAAAAmAIAAGRycy9k&#10;b3ducmV2LnhtbFBLBQYAAAAABAAEAPUAAACJAwAAAAA=&#10;">
                    <v:path/>
                    <v:fill on="f" focussize="0,0"/>
                    <v:stroke on="f"/>
                    <v:imagedata o:title=""/>
                    <o:lock v:ext="edit" aspectratio="f"/>
                    <v:textbox inset="0mm,0mm,0mm,0mm">
                      <w:txbxContent>
                        <w:p>
                          <w:r>
                            <w:rPr>
                              <w:rFonts w:hint="eastAsia"/>
                              <w:i/>
                              <w:iCs/>
                              <w:color w:val="000000"/>
                              <w:sz w:val="14"/>
                              <w:szCs w:val="14"/>
                            </w:rPr>
                            <w:t>P1i</w:t>
                          </w:r>
                        </w:p>
                      </w:txbxContent>
                    </v:textbox>
                  </v:rect>
                  <v:rect id="Rectangle 46" o:spid="_x0000_s1120" o:spt="1" style="position:absolute;left:14782;top:1270;height:2006;width:1060;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9LMMA&#10;AADdAAAADwAAAGRycy9kb3ducmV2LnhtbESP3WoCMRSE7wXfIRzBO81WRLZboxRB0NIb1z7AYXP2&#10;hyYnSxLd9e1NoeDlMDPfMNv9aI24kw+dYwVvywwEceV0x42Cn+txkYMIEVmjcUwKHhRgv5tOtlho&#10;N/CF7mVsRIJwKFBBG2NfSBmqliyGpeuJk1c7bzEm6RupPQ4Jbo1cZdlGWuw4LbTY06Gl6re8WQXy&#10;Wh6HvDQ+c1+r+tucT5eanFLz2fj5ASLSGF/h//ZJK1iv8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9LMMAAADdAAAADwAAAAAAAAAAAAAAAACYAgAAZHJzL2Rv&#10;d25yZXYueG1sUEsFBgAAAAAEAAQA9QAAAIgDAAAAAA==&#10;">
                    <v:path/>
                    <v:fill on="f" focussize="0,0"/>
                    <v:stroke on="f"/>
                    <v:imagedata o:title=""/>
                    <o:lock v:ext="edit" aspectratio="f"/>
                    <v:textbox inset="0mm,0mm,0mm,0mm" style="mso-fit-shape-to-text:t;">
                      <w:txbxContent>
                        <w:p>
                          <w:r>
                            <w:rPr>
                              <w:rFonts w:hint="eastAsia"/>
                              <w:i/>
                              <w:iCs/>
                              <w:color w:val="000000"/>
                              <w:sz w:val="10"/>
                              <w:szCs w:val="10"/>
                            </w:rPr>
                            <w:t>P1ij</w:t>
                          </w:r>
                        </w:p>
                      </w:txbxContent>
                    </v:textbox>
                  </v:rect>
                  <v:rect id="Rectangle 47" o:spid="_x0000_s1121" o:spt="1" style="position:absolute;left:3581;top:1098;height:2229;width:845;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CbL8A&#10;AADdAAAADwAAAGRycy9kb3ducmV2LnhtbERPy4rCMBTdD/gP4QruxlQR0WoUEQQVN1Y/4NLcPjC5&#10;KUnGdv7eLAZmeTjv7X6wRrzJh9axgtk0A0FcOt1yreD5OH2vQISIrNE4JgW/FGC/G31tMdeu5zu9&#10;i1iLFMIhRwVNjF0uZSgbshimriNOXOW8xZigr6X22Kdwa+Q8y5bSYsupocGOjg2Vr+LHKpCP4tSv&#10;CuMzd51XN3M53ytySk3Gw2EDItIQ/8V/7rNWsFis0/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9QJsvwAAAN0AAAAPAAAAAAAAAAAAAAAAAJgCAABkcnMvZG93bnJl&#10;di54bWxQSwUGAAAAAAQABAD1AAAAhAMAAAAA&#10;">
                    <v:path/>
                    <v:fill on="f" focussize="0,0"/>
                    <v:stroke on="f"/>
                    <v:imagedata o:title=""/>
                    <o:lock v:ext="edit" aspectratio="f"/>
                    <v:textbox inset="0mm,0mm,0mm,0mm">
                      <w:txbxContent>
                        <w:p>
                          <w:r>
                            <w:rPr>
                              <w:i/>
                              <w:iCs/>
                              <w:color w:val="000000"/>
                              <w:sz w:val="24"/>
                            </w:rPr>
                            <w:t>T</w:t>
                          </w:r>
                        </w:p>
                      </w:txbxContent>
                    </v:textbox>
                  </v:rect>
                  <v:rect id="Rectangle 48" o:spid="_x0000_s1122" o:spt="1" style="position:absolute;left:273;top:1098;height:2007;width:85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mn98MA&#10;AADdAAAADwAAAGRycy9kb3ducmV2LnhtbESPzYoCMRCE74LvEFrwphlFFh2NsgiCu3hx9AGaSc8P&#10;m3SGJDqzb28WhD0WVfUVtTsM1ogn+dA6VrCYZyCIS6dbrhXcb6fZGkSIyBqNY1LwSwEO+/Foh7l2&#10;PV/pWcRaJAiHHBU0MXa5lKFsyGKYu444eZXzFmOSvpbaY5/g1shlln1Iiy2nhQY7OjZU/hQPq0De&#10;ilO/LozP3Peyupiv87Uip9R0MnxuQUQa4n/43T5rBavVZ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mn98MAAADdAAAADwAAAAAAAAAAAAAAAACYAgAAZHJzL2Rv&#10;d25yZXYueG1sUEsFBgAAAAAEAAQA9QAAAIgDAAAAAA==&#10;">
                    <v:path/>
                    <v:fill on="f" focussize="0,0"/>
                    <v:stroke on="f"/>
                    <v:imagedata o:title=""/>
                    <o:lock v:ext="edit" aspectratio="f"/>
                    <v:textbox inset="0mm,0mm,0mm,0mm" style="mso-fit-shape-to-text:t;">
                      <w:txbxContent>
                        <w:p>
                          <w:r>
                            <w:rPr>
                              <w:i/>
                              <w:iCs/>
                              <w:color w:val="000000"/>
                              <w:sz w:val="24"/>
                            </w:rPr>
                            <w:t>L</w:t>
                          </w:r>
                        </w:p>
                      </w:txbxContent>
                    </v:textbox>
                  </v:rect>
                  <v:rect id="Rectangle 49" o:spid="_x0000_s1123" o:spt="1" style="position:absolute;left:11103;top:3165;height:1984;width:45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5gMMA&#10;AADdAAAADwAAAGRycy9kb3ducmV2LnhtbESP3WoCMRSE7wXfIRzBO812kWK3RimCoMUb1z7AYXP2&#10;hyYnSxLd9e1NQejlMDPfMJvdaI24kw+dYwVvywwEceV0x42Cn+thsQYRIrJG45gUPCjAbjudbLDQ&#10;buAL3cvYiAThUKCCNsa+kDJULVkMS9cTJ6923mJM0jdSexwS3BqZZ9m7tNhxWmixp31L1W95swrk&#10;tTwM69L4zH3n9dmcjpeanFLz2fj1CSLSGP/Dr/ZRK1itPn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s5gMMAAADdAAAADwAAAAAAAAAAAAAAAACYAgAAZHJzL2Rv&#10;d25yZXYueG1sUEsFBgAAAAAEAAQA9QAAAIgDAAAAAA==&#10;">
                    <v:path/>
                    <v:fill on="f" focussize="0,0"/>
                    <v:stroke on="f"/>
                    <v:imagedata o:title=""/>
                    <o:lock v:ext="edit" aspectratio="f"/>
                    <v:textbox inset="0mm,0mm,0mm,0mm" style="mso-fit-shape-to-text:t;">
                      <w:txbxContent>
                        <w:p>
                          <w:r>
                            <w:rPr>
                              <w:color w:val="000000"/>
                              <w:sz w:val="14"/>
                              <w:szCs w:val="14"/>
                            </w:rPr>
                            <w:t>1</w:t>
                          </w:r>
                        </w:p>
                      </w:txbxContent>
                    </v:textbox>
                  </v:rect>
                  <v:rect id="Rectangle 50" o:spid="_x0000_s1124" o:spt="1" style="position:absolute;left:14051;top:858;height:1983;width:45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cG8MA&#10;AADdAAAADwAAAGRycy9kb3ducmV2LnhtbESP3WoCMRSE7wu+QziCdzVbK0VXo4ggaOmNqw9w2Jz9&#10;ocnJkqTu+vamIHg5zMw3zHo7WCNu5EPrWMHHNANBXDrdcq3gejm8L0CEiKzROCYFdwqw3Yze1phr&#10;1/OZbkWsRYJwyFFBE2OXSxnKhiyGqeuIk1c5bzEm6WupPfYJbo2cZdmXtNhyWmiwo31D5W/xZxXI&#10;S3HoF4XxmfueVT/mdDxX5JSajIfdCkSkIb7Cz/ZRK5jPl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ecG8MAAADdAAAADwAAAAAAAAAAAAAAAACYAgAAZHJzL2Rv&#10;d25yZXYueG1sUEsFBgAAAAAEAAQA9QAAAIgDAAAAAA==&#10;">
                    <v:path/>
                    <v:fill on="f" focussize="0,0"/>
                    <v:stroke on="f"/>
                    <v:imagedata o:title=""/>
                    <o:lock v:ext="edit" aspectratio="f"/>
                    <v:textbox inset="0mm,0mm,0mm,0mm" style="mso-fit-shape-to-text:t;">
                      <w:txbxContent>
                        <w:p>
                          <w:r>
                            <w:rPr>
                              <w:color w:val="000000"/>
                              <w:sz w:val="14"/>
                              <w:szCs w:val="14"/>
                            </w:rPr>
                            <w:t>1</w:t>
                          </w:r>
                        </w:p>
                      </w:txbxContent>
                    </v:textbox>
                  </v:rect>
                  <v:rect id="Rectangle 51" o:spid="_x0000_s1125" o:spt="1" style="position:absolute;left:13828;top:858;height:1983;width:229;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Eb8MA&#10;AADdAAAADwAAAGRycy9kb3ducmV2LnhtbESP3WoCMRSE7wXfIRzBO81WlmK3RimCoMUb1z7AYXP2&#10;hyYnSxLd9e1NQejlMDPfMJvdaI24kw+dYwVvywwEceV0x42Cn+thsQYRIrJG45gUPCjAbjudbLDQ&#10;buAL3cvYiAThUKCCNsa+kDJULVkMS9cTJ6923mJM0jdSexwS3Bq5yrJ3abHjtNBiT/uWqt/yZhXI&#10;a3kY1qXxmfte1WdzOl5qckrNZ+PXJ4hIY/wPv9pHrSDPP3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4Eb8MAAADdAAAADwAAAAAAAAAAAAAAAACYAgAAZHJzL2Rv&#10;d25yZXYueG1sUEsFBgAAAAAEAAQA9QAAAIgDAAAAAA==&#10;">
                    <v:path/>
                    <v:fill on="f" focussize="0,0"/>
                    <v:stroke on="f"/>
                    <v:imagedata o:title=""/>
                    <o:lock v:ext="edit" aspectratio="f"/>
                    <v:textbox inset="0mm,0mm,0mm,0mm" style="mso-fit-shape-to-text:t;">
                      <w:txbxContent>
                        <w:p>
                          <w:r>
                            <w:rPr>
                              <w:color w:val="000000"/>
                              <w:sz w:val="14"/>
                              <w:szCs w:val="14"/>
                            </w:rPr>
                            <w:t>.</w:t>
                          </w:r>
                        </w:p>
                      </w:txbxContent>
                    </v:textbox>
                  </v:rect>
                  <v:rect id="Rectangle 52" o:spid="_x0000_s1126" o:spt="1" style="position:absolute;left:13384;top:858;height:1983;width:45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h9MQA&#10;AADdAAAADwAAAGRycy9kb3ducmV2LnhtbESP3WoCMRSE7wXfIRyhd5qt2GK3RhFB0NIbd32Aw+bs&#10;D01OliR1t2/fCIKXw8x8w2x2ozXiRj50jhW8LjIQxJXTHTcKruVxvgYRIrJG45gU/FGA3XY62WCu&#10;3cAXuhWxEQnCIUcFbYx9LmWoWrIYFq4nTl7tvMWYpG+k9jgkuDVymWXv0mLHaaHFng4tVT/Fr1Ug&#10;y+I4rAvjM/e1rL/N+XSpySn1Mhv3nyAijfEZfrRPWsFq9fE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CofTEAAAA3QAAAA8AAAAAAAAAAAAAAAAAmAIAAGRycy9k&#10;b3ducmV2LnhtbFBLBQYAAAAABAAEAPUAAACJAwAAAAA=&#10;">
                    <v:path/>
                    <v:fill on="f" focussize="0,0"/>
                    <v:stroke on="f"/>
                    <v:imagedata o:title=""/>
                    <o:lock v:ext="edit" aspectratio="f"/>
                    <v:textbox inset="0mm,0mm,0mm,0mm" style="mso-fit-shape-to-text:t;">
                      <w:txbxContent>
                        <w:p>
                          <w:r>
                            <w:rPr>
                              <w:color w:val="000000"/>
                              <w:sz w:val="14"/>
                              <w:szCs w:val="14"/>
                            </w:rPr>
                            <w:t>0</w:t>
                          </w:r>
                        </w:p>
                      </w:txbxContent>
                    </v:textbox>
                  </v:rect>
                  <v:rect id="Rectangle 53" o:spid="_x0000_s1127" o:spt="1" style="position:absolute;left:2292;top:2084;height:1984;width:228;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g8MA&#10;AADdAAAADwAAAGRycy9kb3ducmV2LnhtbESPzYoCMRCE74LvEFrYm2YUER2NsgiCu+zF0QdoJj0/&#10;bNIZkuiMb78RhD0WVfUVtTsM1ogH+dA6VjCfZSCIS6dbrhXcrqfpGkSIyBqNY1LwpACH/Xi0w1y7&#10;ni/0KGItEoRDjgqaGLtcylA2ZDHMXEecvMp5izFJX0vtsU9wa+Qiy1bSYstpocGOjg2Vv8XdKpDX&#10;4tSvC+Mz972ofszX+VKRU+pjMnxuQUQa4n/43T5rBcvlZ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A/g8MAAADdAAAADwAAAAAAAAAAAAAAAACYAgAAZHJzL2Rv&#10;d25yZXYueG1sUEsFBgAAAAAEAAQA9QAAAIgDAAAAAA==&#10;">
                    <v:path/>
                    <v:fill on="f" focussize="0,0"/>
                    <v:stroke on="f"/>
                    <v:imagedata o:title=""/>
                    <o:lock v:ext="edit" aspectratio="f"/>
                    <v:textbox inset="0mm,0mm,0mm,0mm" style="mso-fit-shape-to-text:t;">
                      <w:txbxContent>
                        <w:p>
                          <w:r>
                            <w:rPr>
                              <w:color w:val="000000"/>
                              <w:sz w:val="14"/>
                              <w:szCs w:val="14"/>
                            </w:rPr>
                            <w:t>,</w:t>
                          </w:r>
                        </w:p>
                      </w:txbxContent>
                    </v:textbox>
                  </v:rect>
                  <v:rect id="Rectangle 54" o:spid="_x0000_s1128" o:spt="1" style="position:absolute;left:15861;top:1315;height:1983;width:166;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aGMQA&#10;AADdAAAADwAAAGRycy9kb3ducmV2LnhtbESP3WoCMRSE7wXfIRyhd5qtSGu3RhFB0NIbd32Aw+bs&#10;D01OliR1t2/fCIKXw8x8w2x2ozXiRj50jhW8LjIQxJXTHTcKruVxvgYRIrJG45gU/FGA3XY62WCu&#10;3cAXuhWxEQnCIUcFbYx9LmWoWrIYFq4nTl7tvMWYpG+k9jgkuDVymWVv0mLHaaHFng4tVT/Fr1Ug&#10;y+I4rAvjM/e1rL/N+XSpySn1Mhv3nyAijfEZfrRPWsFq9fE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mhjEAAAA3QAAAA8AAAAAAAAAAAAAAAAAmAIAAGRycy9k&#10;b3ducmV2LnhtbFBLBQYAAAAABAAEAPUAAACJAwAAAAA=&#10;">
                    <v:path/>
                    <v:fill on="f" focussize="0,0"/>
                    <v:stroke on="f"/>
                    <v:imagedata o:title=""/>
                    <o:lock v:ext="edit" aspectratio="f"/>
                    <v:textbox inset="0mm,0mm,0mm,0mm" style="mso-fit-shape-to-text:t;">
                      <w:txbxContent>
                        <w:p>
                          <w:r>
                            <w:rPr>
                              <w:color w:val="000000"/>
                              <w:sz w:val="10"/>
                              <w:szCs w:val="10"/>
                            </w:rPr>
                            <w:t>,</w:t>
                          </w:r>
                        </w:p>
                      </w:txbxContent>
                    </v:textbox>
                  </v:rect>
                  <v:rect id="Rectangle 55" o:spid="_x0000_s1129" o:spt="1" style="position:absolute;left:11770;top:1131;height:1983;width:1531;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Oar8A&#10;AADdAAAADwAAAGRycy9kb3ducmV2LnhtbERPy4rCMBTdD/gP4QruxlQR0WoUEQQVN1Y/4NLcPjC5&#10;KUnGdv7eLAZmeTjv7X6wRrzJh9axgtk0A0FcOt1yreD5OH2vQISIrNE4JgW/FGC/G31tMdeu5zu9&#10;i1iLFMIhRwVNjF0uZSgbshimriNOXOW8xZigr6X22Kdwa+Q8y5bSYsupocGOjg2Vr+LHKpCP4tSv&#10;CuMzd51XN3M53ytySk3Gw2EDItIQ/8V/7rNWsFis09z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gw5qvwAAAN0AAAAPAAAAAAAAAAAAAAAAAJgCAABkcnMvZG93bnJl&#10;di54bWxQSwUGAAAAAAQABAD1AAAAhAMAAAAA&#10;">
                    <v:path/>
                    <v:fill on="f" focussize="0,0"/>
                    <v:stroke on="f"/>
                    <v:imagedata o:title=""/>
                    <o:lock v:ext="edit" aspectratio="f"/>
                    <v:textbox inset="0mm,0mm,0mm,0mm" style="mso-fit-shape-to-text:t;">
                      <w:txbxContent>
                        <w:p>
                          <w:r>
                            <w:rPr>
                              <w:color w:val="000000"/>
                              <w:sz w:val="24"/>
                            </w:rPr>
                            <w:t>10</w:t>
                          </w:r>
                        </w:p>
                      </w:txbxContent>
                    </v:textbox>
                  </v:rect>
                  <v:rect id="Rectangle 56" o:spid="_x0000_s1130" o:spt="1" style="position:absolute;left:8239;top:1131;height:1983;width:1187;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8cMA&#10;AADdAAAADwAAAGRycy9kb3ducmV2LnhtbESPzYoCMRCE78K+Q+gFb5pZkUVHoyyCoIsXRx+gmfT8&#10;YNIZkuiMb28WhD0WVfUVtd4O1ogH+dA6VvA1zUAQl063XCu4XvaTBYgQkTUax6TgSQG2m4/RGnPt&#10;ej7To4i1SBAOOSpoYuxyKUPZkMUwdR1x8irnLcYkfS21xz7BrZGzLPuWFltOCw12tGuovBV3q0Be&#10;in2/KIzP3O+sOpnj4VyRU2r8OfysQEQa4n/43T5oBfP5cg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r8cMAAADdAAAADwAAAAAAAAAAAAAAAACYAgAAZHJzL2Rv&#10;d25yZXYueG1sUEsFBgAAAAAEAAQA9QAAAIgDAAAAAA==&#10;">
                    <v:path/>
                    <v:fill on="f" focussize="0,0"/>
                    <v:stroke on="f"/>
                    <v:imagedata o:title=""/>
                    <o:lock v:ext="edit" aspectratio="f"/>
                    <v:textbox inset="0mm,0mm,0mm,0mm" style="mso-fit-shape-to-text:t;">
                      <w:txbxContent>
                        <w:p>
                          <w:r>
                            <w:rPr>
                              <w:color w:val="000000"/>
                              <w:sz w:val="24"/>
                            </w:rPr>
                            <w:t>lg</w:t>
                          </w:r>
                        </w:p>
                      </w:txbxContent>
                    </v:textbox>
                  </v:rect>
                  <v:rect id="Rectangle 57" o:spid="_x0000_s1131" o:spt="1" style="position:absolute;left:6548;top:1131;height:1983;width:1532;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Ydr8A&#10;AADdAAAADwAAAGRycy9kb3ducmV2LnhtbERPy2oCMRTdF/yHcAV3NVFskalRRBBUunHsB1wmdx6Y&#10;3AxJ6kz/3iyELg/nvdmNzooHhdh51rCYKxDElTcdNxp+bsf3NYiYkA1az6ThjyLstpO3DRbGD3yl&#10;R5kakUM4FqihTakvpIxVSw7j3PfEmat9cJgyDI00AYcc7qxcKvUpHXacG1rs6dBSdS9/nQZ5K4/D&#10;urRB+cuy/rbn07Umr/VsOu6/QCQa07/45T4ZDas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Hph2vwAAAN0AAAAPAAAAAAAAAAAAAAAAAJgCAABkcnMvZG93bnJl&#10;di54bWxQSwUGAAAAAAQABAD1AAAAhAMAAAAA&#10;">
                    <v:path/>
                    <v:fill on="f" focussize="0,0"/>
                    <v:stroke on="f"/>
                    <v:imagedata o:title=""/>
                    <o:lock v:ext="edit" aspectratio="f"/>
                    <v:textbox inset="0mm,0mm,0mm,0mm" style="mso-fit-shape-to-text:t;">
                      <w:txbxContent>
                        <w:p>
                          <w:r>
                            <w:rPr>
                              <w:color w:val="000000"/>
                              <w:sz w:val="24"/>
                            </w:rPr>
                            <w:t>10</w:t>
                          </w:r>
                        </w:p>
                      </w:txbxContent>
                    </v:textbox>
                  </v:rect>
                  <v:rect id="Rectangle 58" o:spid="_x0000_s1132" o:spt="1" style="position:absolute;left:4573;top:1131;height:1983;width:508;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97cQA&#10;AADdAAAADwAAAGRycy9kb3ducmV2LnhtbESPzWrDMBCE74W+g9hCb42U0JbgRjahEEhCL3H6AIu1&#10;/iHSykhq7Lx9VCj0OMzMN8ymmp0VVwpx8KxhuVAgiBtvBu40fJ93L2sQMSEbtJ5Jw40iVOXjwwYL&#10;4yc+0bVOncgQjgVq6FMaCylj05PDuPAjcfZaHxymLEMnTcApw52VK6XepcOB80KPI3321FzqH6dB&#10;nuvdtK5tUP64ar/sYX9qyWv9/DRvP0AkmtN/+K+9Nxpe39Q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Pe3EAAAA3QAAAA8AAAAAAAAAAAAAAAAAmAIAAGRycy9k&#10;b3ducmV2LnhtbFBLBQYAAAAABAAEAPUAAACJAwAAAAA=&#10;">
                    <v:path/>
                    <v:fill on="f" focussize="0,0"/>
                    <v:stroke on="f"/>
                    <v:imagedata o:title=""/>
                    <o:lock v:ext="edit" aspectratio="f"/>
                    <v:textbox inset="0mm,0mm,0mm,0mm" style="mso-fit-shape-to-text:t;">
                      <w:txbxContent>
                        <w:p>
                          <w:r>
                            <w:rPr>
                              <w:color w:val="000000"/>
                              <w:sz w:val="24"/>
                            </w:rPr>
                            <w:t>)</w:t>
                          </w:r>
                        </w:p>
                      </w:txbxContent>
                    </v:textbox>
                  </v:rect>
                  <v:rect id="Rectangle 59" o:spid="_x0000_s1133" o:spt="1" style="position:absolute;left:3074;top:1131;height:1983;width:508;mso-wrap-style:non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jmsMA&#10;AADdAAAADwAAAGRycy9kb3ducmV2LnhtbESP3WoCMRSE7wu+QzhC72riUkW2RpGCYIs3rj7AYXP2&#10;hyYnS5K627dvCgUvh5n5htnuJ2fFnULsPWtYLhQI4tqbnlsNt+vxZQMiJmSD1jNp+KEI+93saYul&#10;8SNf6F6lVmQIxxI1dCkNpZSx7shhXPiBOHuNDw5TlqGVJuCY4c7KQqm1dNhzXuhwoPeO6q/q22mQ&#10;1+o4bioblP8smrP9OF0a8lo/z6fDG4hEU3qE/9sno+F1p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CjmsMAAADdAAAADwAAAAAAAAAAAAAAAACYAgAAZHJzL2Rv&#10;d25yZXYueG1sUEsFBgAAAAAEAAQA9QAAAIgDAAAAAA==&#10;">
                    <v:path/>
                    <v:fill on="f" focussize="0,0"/>
                    <v:stroke on="f"/>
                    <v:imagedata o:title=""/>
                    <o:lock v:ext="edit" aspectratio="f"/>
                    <v:textbox inset="0mm,0mm,0mm,0mm" style="mso-fit-shape-to-text:t;">
                      <w:txbxContent>
                        <w:p>
                          <w:r>
                            <w:rPr>
                              <w:color w:val="000000"/>
                              <w:sz w:val="24"/>
                            </w:rPr>
                            <w:t>(</w:t>
                          </w:r>
                        </w:p>
                      </w:txbxContent>
                    </v:textbox>
                  </v:rect>
                  <w10:wrap type="none"/>
                  <w10:anchorlock/>
                </v:group>
              </w:pict>
            </w:r>
          </w:p>
          <w:p>
            <w:pPr>
              <w:spacing w:line="360" w:lineRule="auto"/>
              <w:ind w:firstLine="480" w:firstLineChars="200"/>
              <w:rPr>
                <w:rFonts w:eastAsiaTheme="minorEastAsia"/>
                <w:color w:val="auto"/>
                <w:sz w:val="24"/>
              </w:rPr>
            </w:pPr>
            <w:r>
              <w:rPr>
                <w:rFonts w:hint="eastAsia" w:eastAsiaTheme="minorEastAsia"/>
                <w:color w:val="auto"/>
                <w:sz w:val="24"/>
              </w:rPr>
              <w:t>式中</w:t>
            </w:r>
            <w:r>
              <w:rPr>
                <w:rFonts w:eastAsiaTheme="minorEastAsia"/>
                <w:color w:val="auto"/>
                <w:sz w:val="24"/>
              </w:rPr>
              <w:t>Lp1i(T) —</w:t>
            </w:r>
            <w:r>
              <w:rPr>
                <w:rFonts w:hint="eastAsia" w:eastAsiaTheme="minorEastAsia"/>
                <w:color w:val="auto"/>
                <w:sz w:val="24"/>
              </w:rPr>
              <w:t>靠近围护结构处室内</w:t>
            </w:r>
            <w:r>
              <w:rPr>
                <w:rFonts w:eastAsiaTheme="minorEastAsia"/>
                <w:color w:val="auto"/>
                <w:sz w:val="24"/>
              </w:rPr>
              <w:t xml:space="preserve"> N </w:t>
            </w:r>
            <w:r>
              <w:rPr>
                <w:rFonts w:hint="eastAsia" w:eastAsiaTheme="minorEastAsia"/>
                <w:color w:val="auto"/>
                <w:sz w:val="24"/>
              </w:rPr>
              <w:t>个声源</w:t>
            </w:r>
            <w:r>
              <w:rPr>
                <w:rFonts w:eastAsiaTheme="minorEastAsia"/>
                <w:color w:val="auto"/>
                <w:sz w:val="24"/>
              </w:rPr>
              <w:t xml:space="preserve"> i</w:t>
            </w:r>
            <w:r>
              <w:rPr>
                <w:rFonts w:hint="eastAsia" w:eastAsiaTheme="minorEastAsia"/>
                <w:color w:val="auto"/>
                <w:sz w:val="24"/>
              </w:rPr>
              <w:t>倍频带的叠加声压级，</w:t>
            </w:r>
            <w:r>
              <w:rPr>
                <w:rFonts w:eastAsiaTheme="minorEastAsia"/>
                <w:color w:val="auto"/>
                <w:sz w:val="24"/>
              </w:rPr>
              <w:t>dB</w:t>
            </w:r>
            <w:r>
              <w:rPr>
                <w:rFonts w:hint="eastAsia" w:eastAsiaTheme="minorEastAsia"/>
                <w:color w:val="auto"/>
                <w:sz w:val="24"/>
              </w:rPr>
              <w:t>；</w:t>
            </w:r>
          </w:p>
          <w:p>
            <w:pPr>
              <w:spacing w:line="360" w:lineRule="auto"/>
              <w:ind w:firstLine="480" w:firstLineChars="200"/>
              <w:rPr>
                <w:rFonts w:eastAsiaTheme="minorEastAsia"/>
                <w:color w:val="auto"/>
                <w:sz w:val="24"/>
              </w:rPr>
            </w:pPr>
            <w:r>
              <w:rPr>
                <w:rFonts w:eastAsiaTheme="minorEastAsia"/>
                <w:color w:val="auto"/>
                <w:sz w:val="24"/>
              </w:rPr>
              <w:t>Lp1ij—</w:t>
            </w:r>
            <w:r>
              <w:rPr>
                <w:rFonts w:hint="eastAsia" w:eastAsiaTheme="minorEastAsia"/>
                <w:color w:val="auto"/>
                <w:sz w:val="24"/>
              </w:rPr>
              <w:t>室内</w:t>
            </w:r>
            <w:r>
              <w:rPr>
                <w:rFonts w:eastAsiaTheme="minorEastAsia"/>
                <w:color w:val="auto"/>
                <w:sz w:val="24"/>
              </w:rPr>
              <w:t xml:space="preserve"> j </w:t>
            </w:r>
            <w:r>
              <w:rPr>
                <w:rFonts w:hint="eastAsia" w:eastAsiaTheme="minorEastAsia"/>
                <w:color w:val="auto"/>
                <w:sz w:val="24"/>
              </w:rPr>
              <w:t>声源</w:t>
            </w:r>
            <w:r>
              <w:rPr>
                <w:rFonts w:eastAsiaTheme="minorEastAsia"/>
                <w:color w:val="auto"/>
                <w:sz w:val="24"/>
              </w:rPr>
              <w:t xml:space="preserve">i </w:t>
            </w:r>
            <w:r>
              <w:rPr>
                <w:rFonts w:hint="eastAsia" w:eastAsiaTheme="minorEastAsia"/>
                <w:color w:val="auto"/>
                <w:sz w:val="24"/>
              </w:rPr>
              <w:t>倍频带的声压级，</w:t>
            </w:r>
            <w:r>
              <w:rPr>
                <w:rFonts w:eastAsiaTheme="minorEastAsia"/>
                <w:color w:val="auto"/>
                <w:sz w:val="24"/>
              </w:rPr>
              <w:t>dB</w:t>
            </w:r>
            <w:r>
              <w:rPr>
                <w:rFonts w:hint="eastAsia" w:eastAsiaTheme="minorEastAsia"/>
                <w:color w:val="auto"/>
                <w:sz w:val="24"/>
              </w:rPr>
              <w:t>；</w:t>
            </w:r>
          </w:p>
          <w:p>
            <w:pPr>
              <w:spacing w:line="360" w:lineRule="auto"/>
              <w:ind w:firstLine="480" w:firstLineChars="200"/>
              <w:rPr>
                <w:rFonts w:eastAsiaTheme="minorEastAsia"/>
                <w:color w:val="auto"/>
                <w:sz w:val="24"/>
              </w:rPr>
            </w:pPr>
            <w:r>
              <w:rPr>
                <w:rFonts w:eastAsiaTheme="minorEastAsia"/>
                <w:color w:val="auto"/>
                <w:sz w:val="24"/>
              </w:rPr>
              <w:t>N—</w:t>
            </w:r>
            <w:r>
              <w:rPr>
                <w:rFonts w:hint="eastAsia" w:eastAsiaTheme="minorEastAsia"/>
                <w:color w:val="auto"/>
                <w:sz w:val="24"/>
              </w:rPr>
              <w:t>室内声源总数。</w:t>
            </w:r>
          </w:p>
          <w:p>
            <w:pPr>
              <w:spacing w:line="360" w:lineRule="auto"/>
              <w:ind w:firstLine="480" w:firstLineChars="200"/>
              <w:rPr>
                <w:rFonts w:eastAsiaTheme="minorEastAsia"/>
                <w:color w:val="auto"/>
                <w:sz w:val="24"/>
              </w:rPr>
            </w:pPr>
            <w:r>
              <w:rPr>
                <w:rFonts w:hint="eastAsia" w:eastAsiaTheme="minorEastAsia"/>
                <w:color w:val="auto"/>
                <w:sz w:val="24"/>
              </w:rPr>
              <w:t>在室内近似为扩散声场时，按③中公式计算出靠近室外围护结构处的声压级。</w:t>
            </w:r>
          </w:p>
          <w:p>
            <w:pPr>
              <w:spacing w:line="360" w:lineRule="auto"/>
              <w:ind w:firstLine="480" w:firstLineChars="200"/>
              <w:rPr>
                <w:rFonts w:eastAsiaTheme="minorEastAsia"/>
                <w:color w:val="auto"/>
                <w:sz w:val="24"/>
              </w:rPr>
            </w:pPr>
            <w:r>
              <w:rPr>
                <w:rFonts w:hint="eastAsia" w:eastAsiaTheme="minorEastAsia"/>
                <w:color w:val="auto"/>
                <w:sz w:val="24"/>
              </w:rPr>
              <w:t>③计算出室外靠近围护结构处的声压级：</w:t>
            </w:r>
          </w:p>
          <w:p>
            <w:pPr>
              <w:spacing w:line="360" w:lineRule="auto"/>
              <w:ind w:firstLine="480" w:firstLineChars="200"/>
              <w:jc w:val="center"/>
              <w:rPr>
                <w:rFonts w:eastAsiaTheme="minorEastAsia"/>
                <w:color w:val="auto"/>
                <w:sz w:val="24"/>
              </w:rPr>
            </w:pPr>
            <w:r>
              <w:rPr>
                <w:rFonts w:eastAsiaTheme="minorEastAsia"/>
                <w:color w:val="auto"/>
                <w:sz w:val="24"/>
              </w:rPr>
              <w:t>Lp2i(T) = Lp1i(T)</w:t>
            </w:r>
            <w:r>
              <w:rPr>
                <w:rFonts w:hint="eastAsia" w:eastAsiaTheme="minorEastAsia"/>
                <w:color w:val="auto"/>
                <w:sz w:val="24"/>
              </w:rPr>
              <w:t>－</w:t>
            </w:r>
            <w:r>
              <w:rPr>
                <w:rFonts w:eastAsiaTheme="minorEastAsia"/>
                <w:color w:val="auto"/>
                <w:sz w:val="24"/>
              </w:rPr>
              <w:t>(TLi+6</w:t>
            </w:r>
            <w:r>
              <w:rPr>
                <w:rFonts w:hint="eastAsia" w:eastAsiaTheme="minorEastAsia"/>
                <w:color w:val="auto"/>
                <w:sz w:val="24"/>
              </w:rPr>
              <w:t>）</w:t>
            </w:r>
          </w:p>
          <w:p>
            <w:pPr>
              <w:spacing w:line="360" w:lineRule="auto"/>
              <w:ind w:firstLine="480" w:firstLineChars="200"/>
              <w:rPr>
                <w:rFonts w:eastAsiaTheme="minorEastAsia"/>
                <w:color w:val="auto"/>
                <w:sz w:val="24"/>
              </w:rPr>
            </w:pPr>
            <w:r>
              <w:rPr>
                <w:rFonts w:hint="eastAsia" w:eastAsiaTheme="minorEastAsia"/>
                <w:color w:val="auto"/>
                <w:sz w:val="24"/>
              </w:rPr>
              <w:t>式中</w:t>
            </w:r>
            <w:r>
              <w:rPr>
                <w:rFonts w:eastAsiaTheme="minorEastAsia"/>
                <w:color w:val="auto"/>
                <w:sz w:val="24"/>
              </w:rPr>
              <w:t>Lp2i(T) —</w:t>
            </w:r>
            <w:r>
              <w:rPr>
                <w:rFonts w:hint="eastAsia" w:eastAsiaTheme="minorEastAsia"/>
                <w:color w:val="auto"/>
                <w:sz w:val="24"/>
              </w:rPr>
              <w:t>靠近围护结构处室外</w:t>
            </w:r>
            <w:r>
              <w:rPr>
                <w:rFonts w:eastAsiaTheme="minorEastAsia"/>
                <w:color w:val="auto"/>
                <w:sz w:val="24"/>
              </w:rPr>
              <w:t xml:space="preserve"> N </w:t>
            </w:r>
            <w:r>
              <w:rPr>
                <w:rFonts w:hint="eastAsia" w:eastAsiaTheme="minorEastAsia"/>
                <w:color w:val="auto"/>
                <w:sz w:val="24"/>
              </w:rPr>
              <w:t>个声源</w:t>
            </w:r>
            <w:r>
              <w:rPr>
                <w:rFonts w:eastAsiaTheme="minorEastAsia"/>
                <w:color w:val="auto"/>
                <w:sz w:val="24"/>
              </w:rPr>
              <w:t xml:space="preserve"> i </w:t>
            </w:r>
            <w:r>
              <w:rPr>
                <w:rFonts w:hint="eastAsia" w:eastAsiaTheme="minorEastAsia"/>
                <w:color w:val="auto"/>
                <w:sz w:val="24"/>
              </w:rPr>
              <w:t>倍频带的叠加声压级，</w:t>
            </w:r>
            <w:r>
              <w:rPr>
                <w:rFonts w:eastAsiaTheme="minorEastAsia"/>
                <w:color w:val="auto"/>
                <w:sz w:val="24"/>
              </w:rPr>
              <w:t>dB</w:t>
            </w:r>
            <w:r>
              <w:rPr>
                <w:rFonts w:hint="eastAsia" w:eastAsiaTheme="minorEastAsia"/>
                <w:color w:val="auto"/>
                <w:sz w:val="24"/>
              </w:rPr>
              <w:t>；</w:t>
            </w:r>
          </w:p>
          <w:p>
            <w:pPr>
              <w:spacing w:line="360" w:lineRule="auto"/>
              <w:ind w:firstLine="480" w:firstLineChars="200"/>
              <w:rPr>
                <w:rFonts w:eastAsiaTheme="minorEastAsia"/>
                <w:color w:val="auto"/>
                <w:sz w:val="24"/>
              </w:rPr>
            </w:pPr>
            <w:r>
              <w:rPr>
                <w:rFonts w:eastAsiaTheme="minorEastAsia"/>
                <w:color w:val="auto"/>
                <w:sz w:val="24"/>
              </w:rPr>
              <w:t>TLi—</w:t>
            </w:r>
            <w:r>
              <w:rPr>
                <w:rFonts w:hint="eastAsia" w:eastAsiaTheme="minorEastAsia"/>
                <w:color w:val="auto"/>
                <w:sz w:val="24"/>
              </w:rPr>
              <w:t>围护结构</w:t>
            </w:r>
            <w:r>
              <w:rPr>
                <w:rFonts w:eastAsiaTheme="minorEastAsia"/>
                <w:color w:val="auto"/>
                <w:sz w:val="24"/>
              </w:rPr>
              <w:t xml:space="preserve"> i </w:t>
            </w:r>
            <w:r>
              <w:rPr>
                <w:rFonts w:hint="eastAsia" w:eastAsiaTheme="minorEastAsia"/>
                <w:color w:val="auto"/>
                <w:sz w:val="24"/>
              </w:rPr>
              <w:t>倍频带的隔声量，</w:t>
            </w:r>
            <w:r>
              <w:rPr>
                <w:rFonts w:eastAsiaTheme="minorEastAsia"/>
                <w:color w:val="auto"/>
                <w:sz w:val="24"/>
              </w:rPr>
              <w:t>dB</w:t>
            </w:r>
            <w:r>
              <w:rPr>
                <w:rFonts w:hint="eastAsia" w:eastAsiaTheme="minorEastAsia"/>
                <w:color w:val="auto"/>
                <w:sz w:val="24"/>
              </w:rPr>
              <w:t>。</w:t>
            </w:r>
          </w:p>
          <w:p>
            <w:pPr>
              <w:spacing w:line="360" w:lineRule="auto"/>
              <w:ind w:firstLine="480" w:firstLineChars="200"/>
              <w:rPr>
                <w:rFonts w:eastAsiaTheme="minorEastAsia"/>
                <w:color w:val="auto"/>
                <w:sz w:val="24"/>
              </w:rPr>
            </w:pPr>
            <w:r>
              <w:rPr>
                <w:rFonts w:hint="eastAsia" w:eastAsiaTheme="minorEastAsia"/>
                <w:color w:val="auto"/>
                <w:sz w:val="24"/>
              </w:rPr>
              <w:t>然后按④中公式将室外声源的声压级和透过面积换算成等效的室外声源，计算出中心位置位于透声面积（</w:t>
            </w:r>
            <w:r>
              <w:rPr>
                <w:rFonts w:eastAsiaTheme="minorEastAsia"/>
                <w:color w:val="auto"/>
                <w:sz w:val="24"/>
              </w:rPr>
              <w:t>S</w:t>
            </w:r>
            <w:r>
              <w:rPr>
                <w:rFonts w:hint="eastAsia" w:eastAsiaTheme="minorEastAsia"/>
                <w:color w:val="auto"/>
                <w:sz w:val="24"/>
              </w:rPr>
              <w:t>）处的等效声源的倍频带声功率级。</w:t>
            </w:r>
          </w:p>
          <w:p>
            <w:pPr>
              <w:spacing w:line="360" w:lineRule="auto"/>
              <w:ind w:firstLine="480" w:firstLineChars="200"/>
              <w:rPr>
                <w:rFonts w:eastAsiaTheme="minorEastAsia"/>
                <w:color w:val="auto"/>
                <w:sz w:val="24"/>
              </w:rPr>
            </w:pPr>
            <w:r>
              <w:rPr>
                <w:rFonts w:hint="eastAsia" w:eastAsiaTheme="minorEastAsia"/>
                <w:color w:val="auto"/>
                <w:sz w:val="24"/>
              </w:rPr>
              <w:t>④将室外声级</w:t>
            </w:r>
            <w:r>
              <w:rPr>
                <w:rFonts w:eastAsiaTheme="minorEastAsia"/>
                <w:color w:val="auto"/>
                <w:sz w:val="24"/>
              </w:rPr>
              <w:t>Lp2(T)</w:t>
            </w:r>
            <w:r>
              <w:rPr>
                <w:rFonts w:hint="eastAsia" w:eastAsiaTheme="minorEastAsia"/>
                <w:color w:val="auto"/>
                <w:sz w:val="24"/>
              </w:rPr>
              <w:t>和透声面积换算成等效的室外声源，计算出等效声源第</w:t>
            </w:r>
            <w:r>
              <w:rPr>
                <w:rFonts w:eastAsiaTheme="minorEastAsia"/>
                <w:color w:val="auto"/>
                <w:sz w:val="24"/>
              </w:rPr>
              <w:t>i</w:t>
            </w:r>
            <w:r>
              <w:rPr>
                <w:rFonts w:hint="eastAsia" w:eastAsiaTheme="minorEastAsia"/>
                <w:color w:val="auto"/>
                <w:sz w:val="24"/>
              </w:rPr>
              <w:t>个倍频带的声功率级</w:t>
            </w:r>
            <w:r>
              <w:rPr>
                <w:rFonts w:eastAsiaTheme="minorEastAsia"/>
                <w:color w:val="auto"/>
                <w:sz w:val="24"/>
              </w:rPr>
              <w:t xml:space="preserve">Lw </w:t>
            </w:r>
            <w:r>
              <w:rPr>
                <w:rFonts w:eastAsiaTheme="minorEastAsia"/>
                <w:color w:val="auto"/>
                <w:sz w:val="24"/>
              </w:rPr>
              <w:softHyphen/>
            </w:r>
            <w:r>
              <w:rPr>
                <w:rFonts w:eastAsiaTheme="minorEastAsia"/>
                <w:color w:val="auto"/>
                <w:sz w:val="24"/>
              </w:rPr>
              <w:softHyphen/>
            </w:r>
            <w:r>
              <w:rPr>
                <w:rFonts w:hint="eastAsia" w:eastAsiaTheme="minorEastAsia"/>
                <w:color w:val="auto"/>
                <w:sz w:val="24"/>
              </w:rPr>
              <w:t>：</w:t>
            </w:r>
          </w:p>
          <w:p>
            <w:pPr>
              <w:spacing w:line="360" w:lineRule="auto"/>
              <w:ind w:firstLine="480" w:firstLineChars="200"/>
              <w:jc w:val="center"/>
              <w:rPr>
                <w:rFonts w:eastAsiaTheme="minorEastAsia"/>
                <w:color w:val="auto"/>
                <w:sz w:val="24"/>
              </w:rPr>
            </w:pPr>
            <w:r>
              <w:rPr>
                <w:rFonts w:eastAsiaTheme="minorEastAsia"/>
                <w:color w:val="auto"/>
                <w:sz w:val="24"/>
              </w:rPr>
              <w:t>Lw = Lp2(T) + 10lgs</w:t>
            </w:r>
          </w:p>
          <w:p>
            <w:pPr>
              <w:spacing w:line="360" w:lineRule="auto"/>
              <w:ind w:firstLine="480" w:firstLineChars="200"/>
              <w:rPr>
                <w:rFonts w:eastAsiaTheme="minorEastAsia"/>
                <w:color w:val="auto"/>
                <w:sz w:val="24"/>
              </w:rPr>
            </w:pPr>
            <w:r>
              <w:rPr>
                <w:rFonts w:hint="eastAsia" w:eastAsiaTheme="minorEastAsia"/>
                <w:color w:val="auto"/>
                <w:sz w:val="24"/>
              </w:rPr>
              <w:t>式中：</w:t>
            </w:r>
            <w:r>
              <w:rPr>
                <w:rFonts w:eastAsiaTheme="minorEastAsia"/>
                <w:color w:val="auto"/>
                <w:sz w:val="24"/>
              </w:rPr>
              <w:t>S—</w:t>
            </w:r>
            <w:r>
              <w:rPr>
                <w:rFonts w:hint="eastAsia" w:eastAsiaTheme="minorEastAsia"/>
                <w:color w:val="auto"/>
                <w:sz w:val="24"/>
              </w:rPr>
              <w:t>透声面积，</w:t>
            </w:r>
            <w:r>
              <w:rPr>
                <w:rFonts w:eastAsiaTheme="minorEastAsia"/>
                <w:color w:val="auto"/>
                <w:sz w:val="24"/>
              </w:rPr>
              <w:t>m</w:t>
            </w:r>
            <w:r>
              <w:rPr>
                <w:rFonts w:eastAsiaTheme="minorEastAsia"/>
                <w:color w:val="auto"/>
                <w:sz w:val="24"/>
                <w:vertAlign w:val="superscript"/>
              </w:rPr>
              <w:t>2</w:t>
            </w:r>
            <w:r>
              <w:rPr>
                <w:rFonts w:hint="eastAsia" w:eastAsiaTheme="minorEastAsia"/>
                <w:color w:val="auto"/>
                <w:sz w:val="24"/>
              </w:rPr>
              <w:t>。</w:t>
            </w:r>
          </w:p>
          <w:p>
            <w:pPr>
              <w:spacing w:line="360" w:lineRule="auto"/>
              <w:ind w:firstLine="480" w:firstLineChars="200"/>
              <w:rPr>
                <w:rFonts w:eastAsiaTheme="minorEastAsia"/>
                <w:color w:val="auto"/>
                <w:sz w:val="24"/>
              </w:rPr>
            </w:pPr>
            <w:r>
              <w:rPr>
                <w:rFonts w:hint="eastAsia" w:eastAsiaTheme="minorEastAsia"/>
                <w:color w:val="auto"/>
                <w:sz w:val="24"/>
              </w:rPr>
              <w:t>⑤等效室外声源的位置为围护结构的位置，其倍频带声功率级为</w:t>
            </w:r>
            <w:r>
              <w:rPr>
                <w:rFonts w:eastAsiaTheme="minorEastAsia"/>
                <w:color w:val="auto"/>
                <w:sz w:val="24"/>
              </w:rPr>
              <w:t>Lw</w:t>
            </w:r>
            <w:r>
              <w:rPr>
                <w:rFonts w:hint="eastAsia" w:eastAsiaTheme="minorEastAsia"/>
                <w:color w:val="auto"/>
                <w:sz w:val="24"/>
              </w:rPr>
              <w:t>，由此按室外声源方法计算等效室外声源在预测点产生的声级。</w:t>
            </w:r>
          </w:p>
          <w:p>
            <w:pPr>
              <w:spacing w:line="360" w:lineRule="auto"/>
              <w:ind w:firstLine="480" w:firstLineChars="200"/>
              <w:rPr>
                <w:rFonts w:eastAsiaTheme="minorEastAsia"/>
                <w:color w:val="auto"/>
                <w:sz w:val="24"/>
              </w:rPr>
            </w:pPr>
            <w:r>
              <w:rPr>
                <w:rFonts w:eastAsiaTheme="minorEastAsia"/>
                <w:color w:val="auto"/>
                <w:sz w:val="24"/>
              </w:rPr>
              <w:t>2</w:t>
            </w:r>
            <w:r>
              <w:rPr>
                <w:rFonts w:hint="eastAsia" w:eastAsiaTheme="minorEastAsia"/>
                <w:color w:val="auto"/>
                <w:sz w:val="24"/>
              </w:rPr>
              <w:t>）室外声源</w:t>
            </w:r>
          </w:p>
          <w:p>
            <w:pPr>
              <w:spacing w:line="360" w:lineRule="auto"/>
              <w:ind w:firstLine="480" w:firstLineChars="200"/>
              <w:rPr>
                <w:rFonts w:eastAsiaTheme="minorEastAsia"/>
                <w:color w:val="auto"/>
                <w:sz w:val="24"/>
              </w:rPr>
            </w:pPr>
            <w:r>
              <w:rPr>
                <w:rFonts w:hint="eastAsia" w:eastAsiaTheme="minorEastAsia"/>
                <w:color w:val="auto"/>
                <w:sz w:val="24"/>
              </w:rPr>
              <w:t>①计算某个声源在预测点的倍频带声压级</w:t>
            </w:r>
          </w:p>
          <w:p>
            <w:pPr>
              <w:spacing w:line="360" w:lineRule="auto"/>
              <w:ind w:firstLine="480" w:firstLineChars="200"/>
              <w:jc w:val="center"/>
              <w:rPr>
                <w:rFonts w:eastAsiaTheme="minorEastAsia"/>
                <w:color w:val="auto"/>
                <w:sz w:val="24"/>
              </w:rPr>
            </w:pPr>
            <w:r>
              <w:rPr>
                <w:rFonts w:eastAsiaTheme="minorEastAsia"/>
                <w:color w:val="auto"/>
                <w:sz w:val="24"/>
              </w:rPr>
              <w:object>
                <v:shape id="_x0000_i1027" o:spt="75" type="#_x0000_t75" style="height:19.4pt;width:87.0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p>
          <w:p>
            <w:pPr>
              <w:keepNext/>
              <w:spacing w:line="360" w:lineRule="auto"/>
              <w:ind w:firstLine="480" w:firstLineChars="200"/>
              <w:jc w:val="center"/>
              <w:outlineLvl w:val="1"/>
              <w:rPr>
                <w:rFonts w:eastAsiaTheme="minorEastAsia"/>
                <w:b/>
                <w:color w:val="auto"/>
                <w:sz w:val="24"/>
                <w:szCs w:val="24"/>
              </w:rPr>
            </w:pPr>
            <w:r>
              <w:rPr>
                <w:rFonts w:eastAsiaTheme="minorEastAsia"/>
                <w:color w:val="auto"/>
                <w:sz w:val="24"/>
              </w:rPr>
              <w:object>
                <v:shape id="_x0000_i1028" o:spt="75" type="#_x0000_t75" style="height:19.4pt;width:163.4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p>
          <w:p>
            <w:pPr>
              <w:keepNext/>
              <w:keepLines/>
              <w:spacing w:before="280" w:after="290" w:line="360" w:lineRule="auto"/>
              <w:ind w:firstLine="480" w:firstLineChars="200"/>
              <w:jc w:val="left"/>
              <w:outlineLvl w:val="2"/>
              <w:rPr>
                <w:rFonts w:eastAsiaTheme="minorEastAsia"/>
                <w:b/>
                <w:bCs/>
                <w:color w:val="auto"/>
                <w:sz w:val="24"/>
                <w:szCs w:val="28"/>
              </w:rPr>
            </w:pPr>
            <w:r>
              <w:rPr>
                <w:rFonts w:hint="eastAsia" w:eastAsiaTheme="minorEastAsia"/>
                <w:color w:val="auto"/>
                <w:sz w:val="24"/>
              </w:rPr>
              <w:t>式中：</w:t>
            </w:r>
          </w:p>
          <w:p>
            <w:pPr>
              <w:keepNext/>
              <w:keepLines/>
              <w:spacing w:before="280" w:after="290" w:line="360" w:lineRule="auto"/>
              <w:ind w:firstLine="480" w:firstLineChars="200"/>
              <w:jc w:val="left"/>
              <w:outlineLvl w:val="2"/>
              <w:rPr>
                <w:rFonts w:eastAsiaTheme="minorEastAsia"/>
                <w:b/>
                <w:bCs/>
                <w:color w:val="auto"/>
                <w:sz w:val="24"/>
                <w:szCs w:val="28"/>
              </w:rPr>
            </w:pPr>
            <w:r>
              <w:rPr>
                <w:rFonts w:eastAsiaTheme="minorEastAsia"/>
                <w:color w:val="auto"/>
                <w:sz w:val="24"/>
              </w:rPr>
              <w:object>
                <v:shape id="_x0000_i1029" o:spt="75" type="#_x0000_t75" style="height:15.05pt;width:15.0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eastAsiaTheme="minorEastAsia"/>
                <w:color w:val="auto"/>
                <w:sz w:val="24"/>
              </w:rPr>
              <w:t>——</w:t>
            </w:r>
            <w:r>
              <w:rPr>
                <w:rFonts w:hint="eastAsia" w:eastAsiaTheme="minorEastAsia"/>
                <w:color w:val="auto"/>
                <w:sz w:val="24"/>
              </w:rPr>
              <w:t>倍频带声功率级，</w:t>
            </w:r>
            <w:r>
              <w:rPr>
                <w:rFonts w:eastAsiaTheme="minorEastAsia"/>
                <w:color w:val="auto"/>
                <w:sz w:val="24"/>
              </w:rPr>
              <w:t>dB</w:t>
            </w:r>
            <w:r>
              <w:rPr>
                <w:rFonts w:hint="eastAsia" w:eastAsiaTheme="minorEastAsia"/>
                <w:color w:val="auto"/>
                <w:sz w:val="24"/>
              </w:rPr>
              <w:t>；</w:t>
            </w:r>
          </w:p>
          <w:p>
            <w:pPr>
              <w:keepNext/>
              <w:keepLines/>
              <w:tabs>
                <w:tab w:val="left" w:pos="0"/>
              </w:tabs>
              <w:adjustRightInd w:val="0"/>
              <w:spacing w:before="240" w:after="64" w:line="360" w:lineRule="auto"/>
              <w:ind w:firstLine="480" w:firstLineChars="200"/>
              <w:textAlignment w:val="baseline"/>
              <w:outlineLvl w:val="3"/>
              <w:rPr>
                <w:rFonts w:eastAsiaTheme="minorEastAsia"/>
                <w:b/>
                <w:color w:val="auto"/>
                <w:sz w:val="24"/>
              </w:rPr>
            </w:pPr>
            <w:r>
              <w:rPr>
                <w:rFonts w:eastAsiaTheme="minorEastAsia"/>
                <w:color w:val="auto"/>
                <w:sz w:val="24"/>
              </w:rPr>
              <w:object>
                <v:shape id="_x0000_i1030" o:spt="75" type="#_x0000_t75" style="height:15.05pt;width:15.0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eastAsiaTheme="minorEastAsia"/>
                <w:color w:val="auto"/>
                <w:sz w:val="24"/>
              </w:rPr>
              <w:t>——</w:t>
            </w:r>
            <w:r>
              <w:rPr>
                <w:rFonts w:hint="eastAsia" w:eastAsiaTheme="minorEastAsia"/>
                <w:color w:val="auto"/>
                <w:sz w:val="24"/>
              </w:rPr>
              <w:t>指向性校正，</w:t>
            </w:r>
            <w:r>
              <w:rPr>
                <w:rFonts w:eastAsiaTheme="minorEastAsia"/>
                <w:color w:val="auto"/>
                <w:sz w:val="24"/>
              </w:rPr>
              <w:t>dB</w:t>
            </w:r>
            <w:r>
              <w:rPr>
                <w:rFonts w:hint="eastAsia" w:eastAsiaTheme="minorEastAsia"/>
                <w:color w:val="auto"/>
                <w:sz w:val="24"/>
              </w:rPr>
              <w:t>，它描述点声源的等效连续声压级与产生声功率级</w:t>
            </w:r>
            <w:r>
              <w:rPr>
                <w:rFonts w:eastAsiaTheme="minorEastAsia"/>
                <w:color w:val="auto"/>
                <w:sz w:val="24"/>
              </w:rPr>
              <w:object>
                <v:shape id="_x0000_i1031" o:spt="75" type="#_x0000_t75" style="height:15.05pt;width:15.05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eastAsiaTheme="minorEastAsia"/>
                <w:color w:val="auto"/>
                <w:sz w:val="24"/>
              </w:rPr>
              <w:t>的全向点声源在规定方向的级的偏差程度。指向性校正等于点声源的指向性指数</w:t>
            </w:r>
            <w:r>
              <w:rPr>
                <w:rFonts w:eastAsiaTheme="minorEastAsia"/>
                <w:color w:val="auto"/>
                <w:sz w:val="24"/>
              </w:rPr>
              <w:object>
                <v:shape id="_x0000_i1032" o:spt="75" type="#_x0000_t75" style="height:15.05pt;width:15.05pt;" o:ole="t" filled="f" o:preferrelative="t" stroked="f" coordsize="21600,21600">
                  <v:path/>
                  <v:fill on="f" focussize="0,0"/>
                  <v:stroke on="f" joinstyle="miter"/>
                  <v:imagedata r:id="rId31" o:title=""/>
                  <o:lock v:ext="edit" aspectratio="t"/>
                  <w10:wrap type="none"/>
                  <w10:anchorlock/>
                </v:shape>
                <o:OLEObject Type="Embed" ProgID="Equation.3" ShapeID="_x0000_i1032" DrawAspect="Content" ObjectID="_1468075732" r:id="rId30">
                  <o:LockedField>false</o:LockedField>
                </o:OLEObject>
              </w:object>
            </w:r>
            <w:r>
              <w:rPr>
                <w:rFonts w:hint="eastAsia" w:eastAsiaTheme="minorEastAsia"/>
                <w:color w:val="auto"/>
                <w:sz w:val="24"/>
              </w:rPr>
              <w:t>加上计到小于</w:t>
            </w:r>
            <w:r>
              <w:rPr>
                <w:rFonts w:eastAsiaTheme="minorEastAsia"/>
                <w:color w:val="auto"/>
                <w:sz w:val="24"/>
              </w:rPr>
              <w:t>4π</w:t>
            </w:r>
            <w:r>
              <w:rPr>
                <w:rFonts w:hint="eastAsia" w:eastAsiaTheme="minorEastAsia"/>
                <w:color w:val="auto"/>
                <w:sz w:val="24"/>
              </w:rPr>
              <w:t>球面度（</w:t>
            </w:r>
            <w:r>
              <w:rPr>
                <w:rFonts w:eastAsiaTheme="minorEastAsia"/>
                <w:color w:val="auto"/>
                <w:sz w:val="24"/>
              </w:rPr>
              <w:t>sr</w:t>
            </w:r>
            <w:r>
              <w:rPr>
                <w:rFonts w:hint="eastAsia" w:eastAsiaTheme="minorEastAsia"/>
                <w:color w:val="auto"/>
                <w:sz w:val="24"/>
              </w:rPr>
              <w:t>）立体角内的声传播指数</w:t>
            </w:r>
            <w:r>
              <w:rPr>
                <w:rFonts w:eastAsiaTheme="minorEastAsia"/>
                <w:color w:val="auto"/>
                <w:sz w:val="24"/>
              </w:rPr>
              <w:object>
                <v:shape id="_x0000_i1033" o:spt="75" type="#_x0000_t75" style="height:19.4pt;width:19.4pt;" o:ole="t" filled="f" o:preferrelative="t" stroked="f" coordsize="21600,21600">
                  <v:path/>
                  <v:fill on="f" focussize="0,0"/>
                  <v:stroke on="f" joinstyle="miter"/>
                  <v:imagedata r:id="rId33" o:title=""/>
                  <o:lock v:ext="edit" aspectratio="t"/>
                  <w10:wrap type="none"/>
                  <w10:anchorlock/>
                </v:shape>
                <o:OLEObject Type="Embed" ProgID="Equation.3" ShapeID="_x0000_i1033" DrawAspect="Content" ObjectID="_1468075733" r:id="rId32">
                  <o:LockedField>false</o:LockedField>
                </o:OLEObject>
              </w:object>
            </w:r>
            <w:r>
              <w:rPr>
                <w:rFonts w:hint="eastAsia" w:eastAsiaTheme="minorEastAsia"/>
                <w:color w:val="auto"/>
                <w:sz w:val="24"/>
              </w:rPr>
              <w:t>。对辐射到自由空间的全向点声源，</w:t>
            </w:r>
            <w:r>
              <w:rPr>
                <w:rFonts w:eastAsiaTheme="minorEastAsia"/>
                <w:color w:val="auto"/>
                <w:sz w:val="24"/>
              </w:rPr>
              <w:object>
                <v:shape id="_x0000_i1034" o:spt="75" type="#_x0000_t75" style="height:15.05pt;width:15.05pt;" o:ole="t" filled="f" o:preferrelative="t" stroked="f" coordsize="21600,21600">
                  <v:path/>
                  <v:fill on="f" focussize="0,0"/>
                  <v:stroke on="f" joinstyle="miter"/>
                  <v:imagedata r:id="rId35" o:title=""/>
                  <o:lock v:ext="edit" aspectratio="t"/>
                  <w10:wrap type="none"/>
                  <w10:anchorlock/>
                </v:shape>
                <o:OLEObject Type="Embed" ProgID="Equation.3" ShapeID="_x0000_i1034" DrawAspect="Content" ObjectID="_1468075734" r:id="rId34">
                  <o:LockedField>false</o:LockedField>
                </o:OLEObject>
              </w:object>
            </w:r>
            <w:r>
              <w:rPr>
                <w:rFonts w:eastAsiaTheme="minorEastAsia"/>
                <w:color w:val="auto"/>
                <w:sz w:val="24"/>
              </w:rPr>
              <w:t>=0dB</w:t>
            </w:r>
            <w:r>
              <w:rPr>
                <w:rFonts w:hint="eastAsia" w:eastAsiaTheme="minorEastAsia"/>
                <w:color w:val="auto"/>
                <w:sz w:val="24"/>
              </w:rPr>
              <w:t>。</w:t>
            </w:r>
          </w:p>
          <w:p>
            <w:pPr>
              <w:keepNext/>
              <w:keepLines/>
              <w:tabs>
                <w:tab w:val="left" w:pos="1584"/>
              </w:tabs>
              <w:adjustRightInd w:val="0"/>
              <w:spacing w:line="360" w:lineRule="auto"/>
              <w:ind w:firstLine="480" w:firstLineChars="200"/>
              <w:jc w:val="left"/>
              <w:textAlignment w:val="baseline"/>
              <w:outlineLvl w:val="8"/>
              <w:rPr>
                <w:rFonts w:eastAsiaTheme="minorEastAsia"/>
                <w:color w:val="auto"/>
                <w:sz w:val="24"/>
              </w:rPr>
            </w:pPr>
            <w:r>
              <w:rPr>
                <w:rFonts w:eastAsiaTheme="minorEastAsia"/>
                <w:color w:val="auto"/>
                <w:sz w:val="24"/>
              </w:rPr>
              <w:object>
                <v:shape id="_x0000_i1035" o:spt="75" type="#_x0000_t75" style="height:11.9pt;width:11.9pt;" o:ole="t" filled="f" o:preferrelative="t" stroked="f" coordsize="21600,21600">
                  <v:path/>
                  <v:fill on="f" focussize="0,0"/>
                  <v:stroke on="f" joinstyle="miter"/>
                  <v:imagedata r:id="rId37" o:title=""/>
                  <o:lock v:ext="edit" aspectratio="t"/>
                  <w10:wrap type="none"/>
                  <w10:anchorlock/>
                </v:shape>
                <o:OLEObject Type="Embed" ProgID="Equation.3" ShapeID="_x0000_i1035" DrawAspect="Content" ObjectID="_1468075735" r:id="rId36">
                  <o:LockedField>false</o:LockedField>
                </o:OLEObject>
              </w:object>
            </w:r>
            <w:r>
              <w:rPr>
                <w:rFonts w:eastAsiaTheme="minorEastAsia"/>
                <w:color w:val="auto"/>
                <w:sz w:val="24"/>
              </w:rPr>
              <w:t>——</w:t>
            </w:r>
            <w:r>
              <w:rPr>
                <w:rFonts w:hint="eastAsia" w:eastAsiaTheme="minorEastAsia"/>
                <w:color w:val="auto"/>
                <w:sz w:val="24"/>
              </w:rPr>
              <w:t>倍频带衰减，</w:t>
            </w:r>
            <w:r>
              <w:rPr>
                <w:rFonts w:eastAsiaTheme="minorEastAsia"/>
                <w:color w:val="auto"/>
                <w:sz w:val="24"/>
              </w:rPr>
              <w:t>dB</w:t>
            </w:r>
            <w:r>
              <w:rPr>
                <w:rFonts w:hint="eastAsia" w:eastAsiaTheme="minorEastAsia"/>
                <w:color w:val="auto"/>
                <w:sz w:val="24"/>
              </w:rPr>
              <w:t>；</w:t>
            </w:r>
          </w:p>
          <w:p>
            <w:pPr>
              <w:spacing w:line="360" w:lineRule="auto"/>
              <w:ind w:firstLine="480" w:firstLineChars="200"/>
              <w:jc w:val="left"/>
              <w:rPr>
                <w:rFonts w:eastAsiaTheme="minorEastAsia"/>
                <w:color w:val="auto"/>
                <w:sz w:val="24"/>
              </w:rPr>
            </w:pPr>
            <w:r>
              <w:rPr>
                <w:rFonts w:eastAsiaTheme="minorEastAsia"/>
                <w:color w:val="auto"/>
                <w:sz w:val="24"/>
              </w:rPr>
              <w:object>
                <v:shape id="_x0000_i1036" o:spt="75" type="#_x0000_t75" style="height:11.9pt;width:15.05pt;" o:ole="t" filled="f" o:preferrelative="t" stroked="f" coordsize="21600,21600">
                  <v:path/>
                  <v:fill on="f" focussize="0,0"/>
                  <v:stroke on="f" joinstyle="miter"/>
                  <v:imagedata r:id="rId39" o:title=""/>
                  <o:lock v:ext="edit" aspectratio="t"/>
                  <w10:wrap type="none"/>
                  <w10:anchorlock/>
                </v:shape>
                <o:OLEObject Type="Embed" ProgID="Equation.3" ShapeID="_x0000_i1036" DrawAspect="Content" ObjectID="_1468075736" r:id="rId38">
                  <o:LockedField>false</o:LockedField>
                </o:OLEObject>
              </w:object>
            </w:r>
            <w:r>
              <w:rPr>
                <w:rFonts w:eastAsiaTheme="minorEastAsia"/>
                <w:color w:val="auto"/>
                <w:sz w:val="24"/>
              </w:rPr>
              <w:t>——</w:t>
            </w:r>
            <w:r>
              <w:rPr>
                <w:rFonts w:hint="eastAsia" w:eastAsiaTheme="minorEastAsia"/>
                <w:color w:val="auto"/>
                <w:sz w:val="24"/>
              </w:rPr>
              <w:t>几何发散引起的倍频带衰减，</w:t>
            </w:r>
            <w:r>
              <w:rPr>
                <w:rFonts w:eastAsiaTheme="minorEastAsia"/>
                <w:color w:val="auto"/>
                <w:sz w:val="24"/>
              </w:rPr>
              <w:t>dB</w:t>
            </w:r>
            <w:r>
              <w:rPr>
                <w:rFonts w:hint="eastAsia" w:eastAsiaTheme="minorEastAsia"/>
                <w:color w:val="auto"/>
                <w:sz w:val="24"/>
              </w:rPr>
              <w:t>；</w:t>
            </w:r>
          </w:p>
          <w:p>
            <w:pPr>
              <w:spacing w:line="360" w:lineRule="auto"/>
              <w:ind w:firstLine="480" w:firstLineChars="200"/>
              <w:jc w:val="left"/>
              <w:rPr>
                <w:rFonts w:eastAsiaTheme="minorEastAsia"/>
                <w:color w:val="auto"/>
                <w:sz w:val="24"/>
              </w:rPr>
            </w:pPr>
            <w:r>
              <w:rPr>
                <w:rFonts w:eastAsiaTheme="minorEastAsia"/>
                <w:color w:val="auto"/>
                <w:sz w:val="24"/>
              </w:rPr>
              <w:object>
                <v:shape id="_x0000_i1037" o:spt="75" type="#_x0000_t75" style="height:11.9pt;width:15.05pt;" o:ole="t" filled="f" o:preferrelative="t" stroked="f" coordsize="21600,21600">
                  <v:path/>
                  <v:fill on="f" focussize="0,0"/>
                  <v:stroke on="f" joinstyle="miter"/>
                  <v:imagedata r:id="rId41" o:title=""/>
                  <o:lock v:ext="edit" aspectratio="t"/>
                  <w10:wrap type="none"/>
                  <w10:anchorlock/>
                </v:shape>
                <o:OLEObject Type="Embed" ProgID="Equation.3" ShapeID="_x0000_i1037" DrawAspect="Content" ObjectID="_1468075737" r:id="rId40">
                  <o:LockedField>false</o:LockedField>
                </o:OLEObject>
              </w:object>
            </w:r>
            <w:r>
              <w:rPr>
                <w:rFonts w:eastAsiaTheme="minorEastAsia"/>
                <w:color w:val="auto"/>
                <w:sz w:val="24"/>
              </w:rPr>
              <w:t>——</w:t>
            </w:r>
            <w:r>
              <w:rPr>
                <w:rFonts w:hint="eastAsia" w:eastAsiaTheme="minorEastAsia"/>
                <w:color w:val="auto"/>
                <w:sz w:val="24"/>
              </w:rPr>
              <w:t>大气吸收引起的倍频带衰减，</w:t>
            </w:r>
            <w:r>
              <w:rPr>
                <w:rFonts w:eastAsiaTheme="minorEastAsia"/>
                <w:color w:val="auto"/>
                <w:sz w:val="24"/>
              </w:rPr>
              <w:t>dB</w:t>
            </w:r>
            <w:r>
              <w:rPr>
                <w:rFonts w:hint="eastAsia" w:eastAsiaTheme="minorEastAsia"/>
                <w:color w:val="auto"/>
                <w:sz w:val="24"/>
              </w:rPr>
              <w:t>；</w:t>
            </w:r>
          </w:p>
          <w:p>
            <w:pPr>
              <w:spacing w:line="360" w:lineRule="auto"/>
              <w:ind w:firstLine="480" w:firstLineChars="200"/>
              <w:jc w:val="left"/>
              <w:rPr>
                <w:rFonts w:eastAsiaTheme="minorEastAsia"/>
                <w:color w:val="auto"/>
                <w:sz w:val="24"/>
              </w:rPr>
            </w:pPr>
            <w:r>
              <w:rPr>
                <w:rFonts w:eastAsiaTheme="minorEastAsia"/>
                <w:color w:val="auto"/>
                <w:sz w:val="24"/>
              </w:rPr>
              <w:object>
                <v:shape id="_x0000_i1038" o:spt="75" type="#_x0000_t75" style="height:15.05pt;width:15.05pt;" o:ole="t" filled="f" o:preferrelative="t" stroked="f" coordsize="21600,21600">
                  <v:path/>
                  <v:fill on="f" focussize="0,0"/>
                  <v:stroke on="f" joinstyle="miter"/>
                  <v:imagedata r:id="rId43" o:title=""/>
                  <o:lock v:ext="edit" aspectratio="t"/>
                  <w10:wrap type="none"/>
                  <w10:anchorlock/>
                </v:shape>
                <o:OLEObject Type="Embed" ProgID="Equation.3" ShapeID="_x0000_i1038" DrawAspect="Content" ObjectID="_1468075738" r:id="rId42">
                  <o:LockedField>false</o:LockedField>
                </o:OLEObject>
              </w:object>
            </w:r>
            <w:r>
              <w:rPr>
                <w:rFonts w:eastAsiaTheme="minorEastAsia"/>
                <w:color w:val="auto"/>
                <w:sz w:val="24"/>
              </w:rPr>
              <w:t>——</w:t>
            </w:r>
            <w:r>
              <w:rPr>
                <w:rFonts w:hint="eastAsia" w:eastAsiaTheme="minorEastAsia"/>
                <w:color w:val="auto"/>
                <w:sz w:val="24"/>
              </w:rPr>
              <w:t>地面效应引起的倍频带衰减，</w:t>
            </w:r>
            <w:r>
              <w:rPr>
                <w:rFonts w:eastAsiaTheme="minorEastAsia"/>
                <w:color w:val="auto"/>
                <w:sz w:val="24"/>
              </w:rPr>
              <w:t>dB</w:t>
            </w:r>
            <w:r>
              <w:rPr>
                <w:rFonts w:hint="eastAsia" w:eastAsiaTheme="minorEastAsia"/>
                <w:color w:val="auto"/>
                <w:sz w:val="24"/>
              </w:rPr>
              <w:t>；</w:t>
            </w:r>
          </w:p>
          <w:p>
            <w:pPr>
              <w:spacing w:line="360" w:lineRule="auto"/>
              <w:ind w:firstLine="480" w:firstLineChars="200"/>
              <w:jc w:val="left"/>
              <w:rPr>
                <w:rFonts w:eastAsiaTheme="minorEastAsia"/>
                <w:color w:val="auto"/>
                <w:sz w:val="24"/>
              </w:rPr>
            </w:pPr>
            <w:r>
              <w:rPr>
                <w:rFonts w:eastAsiaTheme="minorEastAsia"/>
                <w:color w:val="auto"/>
                <w:sz w:val="24"/>
              </w:rPr>
              <w:object>
                <v:shape id="_x0000_i1039" o:spt="75" type="#_x0000_t75" style="height:11.9pt;width:15.05pt;" o:ole="t" filled="f" o:preferrelative="t" stroked="f" coordsize="21600,21600">
                  <v:path/>
                  <v:fill on="f" focussize="0,0"/>
                  <v:stroke on="f" joinstyle="miter"/>
                  <v:imagedata r:id="rId45" o:title=""/>
                  <o:lock v:ext="edit" aspectratio="t"/>
                  <w10:wrap type="none"/>
                  <w10:anchorlock/>
                </v:shape>
                <o:OLEObject Type="Embed" ProgID="Equation.3" ShapeID="_x0000_i1039" DrawAspect="Content" ObjectID="_1468075739" r:id="rId44">
                  <o:LockedField>false</o:LockedField>
                </o:OLEObject>
              </w:object>
            </w:r>
            <w:r>
              <w:rPr>
                <w:rFonts w:eastAsiaTheme="minorEastAsia"/>
                <w:color w:val="auto"/>
                <w:sz w:val="24"/>
              </w:rPr>
              <w:t>——</w:t>
            </w:r>
            <w:r>
              <w:rPr>
                <w:rFonts w:hint="eastAsia" w:eastAsiaTheme="minorEastAsia"/>
                <w:color w:val="auto"/>
                <w:sz w:val="24"/>
              </w:rPr>
              <w:t>声屏障引起的倍频带衰减，</w:t>
            </w:r>
            <w:r>
              <w:rPr>
                <w:rFonts w:eastAsiaTheme="minorEastAsia"/>
                <w:color w:val="auto"/>
                <w:sz w:val="24"/>
              </w:rPr>
              <w:t>dB</w:t>
            </w:r>
            <w:r>
              <w:rPr>
                <w:rFonts w:hint="eastAsia" w:eastAsiaTheme="minorEastAsia"/>
                <w:color w:val="auto"/>
                <w:sz w:val="24"/>
              </w:rPr>
              <w:t>；</w:t>
            </w:r>
          </w:p>
          <w:p>
            <w:pPr>
              <w:adjustRightInd w:val="0"/>
              <w:spacing w:line="360" w:lineRule="auto"/>
              <w:ind w:firstLine="480" w:firstLineChars="200"/>
              <w:jc w:val="left"/>
              <w:textAlignment w:val="baseline"/>
              <w:rPr>
                <w:rFonts w:eastAsiaTheme="minorEastAsia"/>
                <w:color w:val="auto"/>
                <w:sz w:val="24"/>
              </w:rPr>
            </w:pPr>
            <w:r>
              <w:rPr>
                <w:rFonts w:eastAsiaTheme="minorEastAsia"/>
                <w:color w:val="auto"/>
                <w:sz w:val="24"/>
              </w:rPr>
              <w:object>
                <v:shape id="_x0000_i1040" o:spt="75" type="#_x0000_t75" style="height:11.9pt;width:19.4pt;" o:ole="t" filled="f" o:preferrelative="t" stroked="f" coordsize="21600,21600">
                  <v:path/>
                  <v:fill on="f" focussize="0,0"/>
                  <v:stroke on="f" joinstyle="miter"/>
                  <v:imagedata r:id="rId47" o:title=""/>
                  <o:lock v:ext="edit" aspectratio="t"/>
                  <w10:wrap type="none"/>
                  <w10:anchorlock/>
                </v:shape>
                <o:OLEObject Type="Embed" ProgID="Equation.3" ShapeID="_x0000_i1040" DrawAspect="Content" ObjectID="_1468075740" r:id="rId46">
                  <o:LockedField>false</o:LockedField>
                </o:OLEObject>
              </w:object>
            </w:r>
            <w:r>
              <w:rPr>
                <w:rFonts w:eastAsiaTheme="minorEastAsia"/>
                <w:color w:val="auto"/>
                <w:sz w:val="24"/>
              </w:rPr>
              <w:t>——</w:t>
            </w:r>
            <w:r>
              <w:rPr>
                <w:rFonts w:hint="eastAsia" w:eastAsiaTheme="minorEastAsia"/>
                <w:color w:val="auto"/>
                <w:sz w:val="24"/>
              </w:rPr>
              <w:t>其它多方面效应引起的倍频带衰减，</w:t>
            </w:r>
            <w:r>
              <w:rPr>
                <w:rFonts w:eastAsiaTheme="minorEastAsia"/>
                <w:color w:val="auto"/>
                <w:sz w:val="24"/>
              </w:rPr>
              <w:t>dB</w:t>
            </w:r>
            <w:r>
              <w:rPr>
                <w:rFonts w:hint="eastAsia" w:eastAsiaTheme="minorEastAsia"/>
                <w:color w:val="auto"/>
                <w:sz w:val="24"/>
              </w:rPr>
              <w:t>；</w:t>
            </w:r>
          </w:p>
          <w:p>
            <w:pPr>
              <w:spacing w:line="360" w:lineRule="auto"/>
              <w:ind w:firstLine="480" w:firstLineChars="200"/>
              <w:jc w:val="left"/>
              <w:rPr>
                <w:rFonts w:eastAsiaTheme="minorEastAsia"/>
                <w:b/>
                <w:bCs/>
                <w:color w:val="auto"/>
                <w:sz w:val="24"/>
              </w:rPr>
            </w:pPr>
            <w:r>
              <w:rPr>
                <w:rFonts w:hint="eastAsia" w:eastAsiaTheme="minorEastAsia"/>
                <w:color w:val="auto"/>
                <w:sz w:val="24"/>
              </w:rPr>
              <w:t>②已知靠近声源处某点的倍频带声压级</w:t>
            </w:r>
            <w:r>
              <w:rPr>
                <w:rFonts w:eastAsiaTheme="minorEastAsia"/>
                <w:color w:val="auto"/>
                <w:sz w:val="24"/>
              </w:rPr>
              <w:object>
                <v:shape id="_x0000_i1041" o:spt="75" type="#_x0000_t75" style="height:22.55pt;width:37.55pt;" o:ole="t" filled="f" o:preferrelative="t" stroked="f" coordsize="21600,21600">
                  <v:path/>
                  <v:fill on="f" focussize="0,0"/>
                  <v:stroke on="f" joinstyle="miter"/>
                  <v:imagedata r:id="rId49" o:title=""/>
                  <o:lock v:ext="edit" aspectratio="t"/>
                  <w10:wrap type="none"/>
                  <w10:anchorlock/>
                </v:shape>
                <o:OLEObject Type="Embed" ProgID="Equation.3" ShapeID="_x0000_i1041" DrawAspect="Content" ObjectID="_1468075741" r:id="rId48">
                  <o:LockedField>false</o:LockedField>
                </o:OLEObject>
              </w:object>
            </w:r>
            <w:r>
              <w:rPr>
                <w:rFonts w:hint="eastAsia" w:eastAsiaTheme="minorEastAsia"/>
                <w:color w:val="auto"/>
                <w:sz w:val="24"/>
              </w:rPr>
              <w:t>，计算相同方向预测点位置的倍频带声压级</w:t>
            </w:r>
          </w:p>
          <w:p>
            <w:pPr>
              <w:adjustRightInd w:val="0"/>
              <w:spacing w:line="360" w:lineRule="auto"/>
              <w:ind w:left="840" w:leftChars="400" w:firstLine="480" w:firstLineChars="200"/>
              <w:jc w:val="center"/>
              <w:textAlignment w:val="baseline"/>
              <w:rPr>
                <w:rFonts w:eastAsiaTheme="minorEastAsia"/>
                <w:color w:val="auto"/>
                <w:sz w:val="24"/>
              </w:rPr>
            </w:pPr>
            <w:r>
              <w:rPr>
                <w:rFonts w:eastAsiaTheme="minorEastAsia"/>
                <w:color w:val="auto"/>
                <w:sz w:val="24"/>
              </w:rPr>
              <w:object>
                <v:shape id="_x0000_i1042" o:spt="75" type="#_x0000_t75" style="height:19.4pt;width:94.55pt;" o:ole="t" filled="f" o:preferrelative="t" stroked="f" coordsize="21600,21600">
                  <v:path/>
                  <v:fill on="f" focussize="0,0"/>
                  <v:stroke on="f" joinstyle="miter"/>
                  <v:imagedata r:id="rId51" o:title=""/>
                  <o:lock v:ext="edit" aspectratio="t"/>
                  <w10:wrap type="none"/>
                  <w10:anchorlock/>
                </v:shape>
                <o:OLEObject Type="Embed" ProgID="Equation.3" ShapeID="_x0000_i1042" DrawAspect="Content" ObjectID="_1468075742" r:id="rId50">
                  <o:LockedField>false</o:LockedField>
                </o:OLEObject>
              </w:object>
            </w:r>
          </w:p>
          <w:p>
            <w:pPr>
              <w:adjustRightInd w:val="0"/>
              <w:snapToGrid w:val="0"/>
              <w:spacing w:line="360" w:lineRule="auto"/>
              <w:ind w:firstLine="480" w:firstLineChars="200"/>
              <w:jc w:val="left"/>
              <w:rPr>
                <w:rFonts w:eastAsiaTheme="minorEastAsia"/>
                <w:color w:val="auto"/>
                <w:sz w:val="24"/>
                <w:szCs w:val="18"/>
              </w:rPr>
            </w:pPr>
            <w:r>
              <w:rPr>
                <w:rFonts w:hint="eastAsia" w:eastAsiaTheme="minorEastAsia"/>
                <w:color w:val="auto"/>
                <w:sz w:val="24"/>
              </w:rPr>
              <w:t>预测点的</w:t>
            </w:r>
            <w:r>
              <w:rPr>
                <w:rFonts w:eastAsiaTheme="minorEastAsia"/>
                <w:color w:val="auto"/>
                <w:sz w:val="24"/>
              </w:rPr>
              <w:t>A</w:t>
            </w:r>
            <w:r>
              <w:rPr>
                <w:rFonts w:hint="eastAsia" w:eastAsiaTheme="minorEastAsia"/>
                <w:color w:val="auto"/>
                <w:sz w:val="24"/>
              </w:rPr>
              <w:t>声级</w:t>
            </w:r>
            <w:r>
              <w:rPr>
                <w:rFonts w:eastAsiaTheme="minorEastAsia"/>
                <w:color w:val="auto"/>
                <w:sz w:val="24"/>
              </w:rPr>
              <w:object>
                <v:shape id="_x0000_i1043" o:spt="75" type="#_x0000_t75" style="height:19.4pt;width:34.45pt;" o:ole="t" filled="f" o:preferrelative="t" stroked="f" coordsize="21600,21600">
                  <v:path/>
                  <v:fill on="f" focussize="0,0"/>
                  <v:stroke on="f" joinstyle="miter"/>
                  <v:imagedata r:id="rId53" o:title=""/>
                  <o:lock v:ext="edit" aspectratio="t"/>
                  <w10:wrap type="none"/>
                  <w10:anchorlock/>
                </v:shape>
                <o:OLEObject Type="Embed" ProgID="Equation.3" ShapeID="_x0000_i1043" DrawAspect="Content" ObjectID="_1468075743" r:id="rId52">
                  <o:LockedField>false</o:LockedField>
                </o:OLEObject>
              </w:object>
            </w:r>
            <w:r>
              <w:rPr>
                <w:rFonts w:eastAsiaTheme="minorEastAsia"/>
                <w:color w:val="auto"/>
                <w:sz w:val="24"/>
              </w:rPr>
              <w:t>,</w:t>
            </w:r>
            <w:r>
              <w:rPr>
                <w:rFonts w:hint="eastAsia" w:eastAsiaTheme="minorEastAsia"/>
                <w:color w:val="auto"/>
                <w:sz w:val="24"/>
              </w:rPr>
              <w:t>可利用</w:t>
            </w:r>
            <w:r>
              <w:rPr>
                <w:rFonts w:eastAsiaTheme="minorEastAsia"/>
                <w:color w:val="auto"/>
                <w:sz w:val="24"/>
              </w:rPr>
              <w:t>8</w:t>
            </w:r>
            <w:r>
              <w:rPr>
                <w:rFonts w:hint="eastAsia" w:eastAsiaTheme="minorEastAsia"/>
                <w:color w:val="auto"/>
                <w:sz w:val="24"/>
              </w:rPr>
              <w:t>个倍频带的声压级按如下计算：</w:t>
            </w:r>
          </w:p>
          <w:p>
            <w:pPr>
              <w:spacing w:after="120" w:line="360" w:lineRule="auto"/>
              <w:ind w:firstLine="480" w:firstLineChars="200"/>
              <w:jc w:val="center"/>
              <w:rPr>
                <w:rFonts w:eastAsiaTheme="minorEastAsia"/>
                <w:color w:val="auto"/>
                <w:sz w:val="24"/>
              </w:rPr>
            </w:pPr>
            <w:r>
              <w:rPr>
                <w:rFonts w:eastAsiaTheme="minorEastAsia"/>
                <w:color w:val="auto"/>
                <w:sz w:val="24"/>
              </w:rPr>
              <w:object>
                <v:shape id="_x0000_i1044" o:spt="75" type="#_x0000_t75" style="height:34.45pt;width:139.6pt;" o:ole="t" filled="f" o:preferrelative="t" stroked="f" coordsize="21600,21600">
                  <v:path/>
                  <v:fill on="f" focussize="0,0"/>
                  <v:stroke on="f" joinstyle="miter"/>
                  <v:imagedata r:id="rId55" o:title=""/>
                  <o:lock v:ext="edit" aspectratio="t"/>
                  <w10:wrap type="none"/>
                  <w10:anchorlock/>
                </v:shape>
                <o:OLEObject Type="Embed" ProgID="Equation.3" ShapeID="_x0000_i1044" DrawAspect="Content" ObjectID="_1468075744" r:id="rId54">
                  <o:LockedField>false</o:LockedField>
                </o:OLEObject>
              </w:object>
            </w:r>
          </w:p>
          <w:p>
            <w:pPr>
              <w:adjustRightInd w:val="0"/>
              <w:snapToGrid w:val="0"/>
              <w:spacing w:line="360" w:lineRule="auto"/>
              <w:jc w:val="left"/>
              <w:rPr>
                <w:rFonts w:eastAsiaTheme="minorEastAsia"/>
                <w:color w:val="auto"/>
                <w:sz w:val="24"/>
              </w:rPr>
            </w:pPr>
            <w:r>
              <w:rPr>
                <w:rFonts w:hint="eastAsia" w:eastAsiaTheme="minorEastAsia"/>
                <w:color w:val="auto"/>
                <w:sz w:val="24"/>
              </w:rPr>
              <w:t>式中：</w:t>
            </w:r>
          </w:p>
          <w:p>
            <w:pPr>
              <w:adjustRightInd w:val="0"/>
              <w:snapToGrid w:val="0"/>
              <w:spacing w:line="360" w:lineRule="auto"/>
              <w:ind w:firstLine="600" w:firstLineChars="250"/>
              <w:jc w:val="left"/>
              <w:rPr>
                <w:rFonts w:eastAsiaTheme="minorEastAsia"/>
                <w:color w:val="auto"/>
                <w:sz w:val="24"/>
              </w:rPr>
            </w:pPr>
            <w:r>
              <w:rPr>
                <w:rFonts w:eastAsiaTheme="minorEastAsia"/>
                <w:color w:val="auto"/>
                <w:sz w:val="24"/>
              </w:rPr>
              <w:object>
                <v:shape id="_x0000_i1045" o:spt="75" type="#_x0000_t75" style="height:19.4pt;width:26.9pt;" o:ole="t" filled="f" o:preferrelative="t" stroked="f" coordsize="21600,21600">
                  <v:path/>
                  <v:fill on="f" focussize="0,0"/>
                  <v:stroke on="f" joinstyle="miter"/>
                  <v:imagedata r:id="rId57" o:title=""/>
                  <o:lock v:ext="edit" aspectratio="t"/>
                  <w10:wrap type="none"/>
                  <w10:anchorlock/>
                </v:shape>
                <o:OLEObject Type="Embed" ProgID="Equation.3" ShapeID="_x0000_i1045" DrawAspect="Content" ObjectID="_1468075745" r:id="rId56">
                  <o:LockedField>false</o:LockedField>
                </o:OLEObject>
              </w:object>
            </w:r>
            <w:r>
              <w:rPr>
                <w:rFonts w:eastAsiaTheme="minorEastAsia"/>
                <w:color w:val="auto"/>
                <w:sz w:val="24"/>
              </w:rPr>
              <w:t>——</w:t>
            </w:r>
            <w:r>
              <w:rPr>
                <w:rFonts w:hint="eastAsia" w:eastAsiaTheme="minorEastAsia"/>
                <w:color w:val="auto"/>
                <w:sz w:val="24"/>
              </w:rPr>
              <w:t>预测点（</w:t>
            </w:r>
            <w:r>
              <w:rPr>
                <w:rFonts w:eastAsiaTheme="minorEastAsia"/>
                <w:color w:val="auto"/>
                <w:sz w:val="24"/>
              </w:rPr>
              <w:t>r</w:t>
            </w:r>
            <w:r>
              <w:rPr>
                <w:rFonts w:hint="eastAsia" w:eastAsiaTheme="minorEastAsia"/>
                <w:color w:val="auto"/>
                <w:sz w:val="24"/>
              </w:rPr>
              <w:t>）处，第</w:t>
            </w:r>
            <w:r>
              <w:rPr>
                <w:rFonts w:eastAsiaTheme="minorEastAsia"/>
                <w:color w:val="auto"/>
                <w:sz w:val="24"/>
              </w:rPr>
              <w:t>i</w:t>
            </w:r>
            <w:r>
              <w:rPr>
                <w:rFonts w:hint="eastAsia" w:eastAsiaTheme="minorEastAsia"/>
                <w:color w:val="auto"/>
                <w:sz w:val="24"/>
              </w:rPr>
              <w:t>倍频带声压级，</w:t>
            </w:r>
            <w:r>
              <w:rPr>
                <w:rFonts w:eastAsiaTheme="minorEastAsia"/>
                <w:color w:val="auto"/>
                <w:sz w:val="24"/>
              </w:rPr>
              <w:t>dB</w:t>
            </w:r>
            <w:r>
              <w:rPr>
                <w:rFonts w:hint="eastAsia" w:eastAsiaTheme="minorEastAsia"/>
                <w:color w:val="auto"/>
                <w:sz w:val="24"/>
              </w:rPr>
              <w:t>；</w:t>
            </w:r>
          </w:p>
          <w:p>
            <w:pPr>
              <w:tabs>
                <w:tab w:val="left" w:pos="780"/>
              </w:tabs>
              <w:spacing w:line="360" w:lineRule="auto"/>
              <w:jc w:val="left"/>
              <w:rPr>
                <w:rFonts w:eastAsiaTheme="minorEastAsia"/>
                <w:color w:val="auto"/>
                <w:sz w:val="24"/>
                <w:szCs w:val="24"/>
              </w:rPr>
            </w:pPr>
            <w:r>
              <w:rPr>
                <w:rFonts w:eastAsiaTheme="minorEastAsia"/>
                <w:color w:val="auto"/>
                <w:sz w:val="24"/>
              </w:rPr>
              <w:object>
                <v:shape id="_x0000_i1046" o:spt="75" type="#_x0000_t75" style="height:15.05pt;width:19.4pt;" o:ole="t" filled="f" o:preferrelative="t" stroked="f" coordsize="21600,21600">
                  <v:path/>
                  <v:fill on="f" focussize="0,0"/>
                  <v:stroke on="f" joinstyle="miter"/>
                  <v:imagedata r:id="rId59" o:title=""/>
                  <o:lock v:ext="edit" aspectratio="t"/>
                  <w10:wrap type="none"/>
                  <w10:anchorlock/>
                </v:shape>
                <o:OLEObject Type="Embed" ProgID="Equation.3" ShapeID="_x0000_i1046" DrawAspect="Content" ObjectID="_1468075746" r:id="rId58">
                  <o:LockedField>false</o:LockedField>
                </o:OLEObject>
              </w:object>
            </w:r>
            <w:r>
              <w:rPr>
                <w:rFonts w:eastAsiaTheme="minorEastAsia"/>
                <w:color w:val="auto"/>
                <w:sz w:val="24"/>
              </w:rPr>
              <w:t>——i</w:t>
            </w:r>
            <w:r>
              <w:rPr>
                <w:rFonts w:hint="eastAsia" w:eastAsiaTheme="minorEastAsia"/>
                <w:color w:val="auto"/>
                <w:sz w:val="24"/>
              </w:rPr>
              <w:t>倍频带</w:t>
            </w:r>
            <w:r>
              <w:rPr>
                <w:rFonts w:eastAsiaTheme="minorEastAsia"/>
                <w:color w:val="auto"/>
                <w:sz w:val="24"/>
              </w:rPr>
              <w:t>A</w:t>
            </w:r>
            <w:r>
              <w:rPr>
                <w:rFonts w:hint="eastAsia" w:eastAsiaTheme="minorEastAsia"/>
                <w:color w:val="auto"/>
                <w:sz w:val="24"/>
              </w:rPr>
              <w:t>计权网络修正值，</w:t>
            </w:r>
            <w:r>
              <w:rPr>
                <w:rFonts w:eastAsiaTheme="minorEastAsia"/>
                <w:color w:val="auto"/>
                <w:sz w:val="24"/>
              </w:rPr>
              <w:t>dB</w:t>
            </w:r>
            <w:r>
              <w:rPr>
                <w:rFonts w:hint="eastAsia" w:eastAsiaTheme="minorEastAsia"/>
                <w:color w:val="auto"/>
                <w:sz w:val="24"/>
              </w:rPr>
              <w:t>。</w:t>
            </w:r>
          </w:p>
          <w:p>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ind w:firstLine="480" w:firstLineChars="200"/>
              <w:jc w:val="left"/>
              <w:rPr>
                <w:rFonts w:eastAsiaTheme="minorEastAsia"/>
                <w:color w:val="auto"/>
                <w:sz w:val="24"/>
              </w:rPr>
            </w:pPr>
            <w:r>
              <w:rPr>
                <w:rFonts w:hint="eastAsia" w:eastAsiaTheme="minorEastAsia"/>
                <w:color w:val="auto"/>
                <w:sz w:val="24"/>
              </w:rPr>
              <w:t>在不能取得声源倍频带声功率级或倍频带声压，只能获得</w:t>
            </w:r>
            <w:r>
              <w:rPr>
                <w:rFonts w:eastAsiaTheme="minorEastAsia"/>
                <w:color w:val="auto"/>
                <w:sz w:val="24"/>
              </w:rPr>
              <w:t>A</w:t>
            </w:r>
            <w:r>
              <w:rPr>
                <w:rFonts w:hint="eastAsia" w:eastAsiaTheme="minorEastAsia"/>
                <w:color w:val="auto"/>
                <w:sz w:val="24"/>
              </w:rPr>
              <w:t>声功率级或某点的</w:t>
            </w:r>
            <w:r>
              <w:rPr>
                <w:rFonts w:eastAsiaTheme="minorEastAsia"/>
                <w:color w:val="auto"/>
                <w:sz w:val="24"/>
              </w:rPr>
              <w:t>A</w:t>
            </w:r>
            <w:r>
              <w:rPr>
                <w:rFonts w:hint="eastAsia" w:eastAsiaTheme="minorEastAsia"/>
                <w:color w:val="auto"/>
                <w:sz w:val="24"/>
              </w:rPr>
              <w:t>声级时，按如下公式近似计算；</w:t>
            </w:r>
          </w:p>
          <w:p>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jc w:val="center"/>
              <w:rPr>
                <w:rFonts w:eastAsiaTheme="minorEastAsia"/>
                <w:color w:val="auto"/>
                <w:sz w:val="24"/>
              </w:rPr>
            </w:pPr>
            <w:r>
              <w:rPr>
                <w:rFonts w:eastAsiaTheme="minorEastAsia"/>
                <w:color w:val="auto"/>
                <w:sz w:val="24"/>
              </w:rPr>
              <w:object>
                <v:shape id="_x0000_i1047" o:spt="75" type="#_x0000_t75" style="height:19.4pt;width:106.45pt;" o:ole="t" filled="f" o:preferrelative="t" stroked="f" coordsize="21600,21600">
                  <v:path/>
                  <v:fill on="f" focussize="0,0"/>
                  <v:stroke on="f" joinstyle="miter"/>
                  <v:imagedata r:id="rId61" o:title=""/>
                  <o:lock v:ext="edit" aspectratio="t"/>
                  <w10:wrap type="none"/>
                  <w10:anchorlock/>
                </v:shape>
                <o:OLEObject Type="Embed" ProgID="Equation.3" ShapeID="_x0000_i1047" DrawAspect="Content" ObjectID="_1468075747" r:id="rId60">
                  <o:LockedField>false</o:LockedField>
                </o:OLEObject>
              </w:object>
            </w:r>
            <w:r>
              <w:rPr>
                <w:rFonts w:hint="eastAsia" w:eastAsiaTheme="minorEastAsia"/>
                <w:color w:val="auto"/>
                <w:sz w:val="24"/>
              </w:rPr>
              <w:t>或</w:t>
            </w:r>
            <w:r>
              <w:rPr>
                <w:rFonts w:eastAsiaTheme="minorEastAsia"/>
                <w:color w:val="auto"/>
                <w:sz w:val="24"/>
              </w:rPr>
              <w:object>
                <v:shape id="_x0000_i1048" o:spt="75" type="#_x0000_t75" style="height:19.4pt;width:83.9pt;" o:ole="t" filled="f" o:preferrelative="t" stroked="f" coordsize="21600,21600">
                  <v:path/>
                  <v:fill on="f" focussize="0,0"/>
                  <v:stroke on="f" joinstyle="miter"/>
                  <v:imagedata r:id="rId63" o:title=""/>
                  <o:lock v:ext="edit" aspectratio="t"/>
                  <w10:wrap type="none"/>
                  <w10:anchorlock/>
                </v:shape>
                <o:OLEObject Type="Embed" ProgID="Equation.3" ShapeID="_x0000_i1048" DrawAspect="Content" ObjectID="_1468075748" r:id="rId62">
                  <o:LockedField>false</o:LockedField>
                </o:OLEObject>
              </w:object>
            </w:r>
          </w:p>
          <w:p>
            <w:pPr>
              <w:tabs>
                <w:tab w:val="left" w:pos="480"/>
                <w:tab w:val="left" w:pos="960"/>
                <w:tab w:val="left" w:pos="1440"/>
                <w:tab w:val="left" w:pos="1620"/>
                <w:tab w:val="left" w:pos="1920"/>
                <w:tab w:val="left" w:pos="2400"/>
                <w:tab w:val="left" w:pos="2880"/>
                <w:tab w:val="left" w:pos="3360"/>
                <w:tab w:val="left" w:pos="3840"/>
                <w:tab w:val="left" w:pos="4320"/>
              </w:tabs>
              <w:kinsoku w:val="0"/>
              <w:overflowPunct w:val="0"/>
              <w:autoSpaceDE w:val="0"/>
              <w:autoSpaceDN w:val="0"/>
              <w:snapToGrid w:val="0"/>
              <w:spacing w:line="360" w:lineRule="auto"/>
              <w:ind w:firstLine="480" w:firstLineChars="200"/>
              <w:jc w:val="left"/>
              <w:rPr>
                <w:rFonts w:eastAsiaTheme="minorEastAsia"/>
                <w:color w:val="auto"/>
                <w:sz w:val="24"/>
                <w:szCs w:val="28"/>
              </w:rPr>
            </w:pPr>
            <w:r>
              <w:rPr>
                <w:rFonts w:eastAsiaTheme="minorEastAsia"/>
                <w:color w:val="auto"/>
                <w:sz w:val="24"/>
              </w:rPr>
              <w:t>A</w:t>
            </w:r>
            <w:r>
              <w:rPr>
                <w:rFonts w:hint="eastAsia" w:eastAsiaTheme="minorEastAsia"/>
                <w:color w:val="auto"/>
                <w:sz w:val="24"/>
              </w:rPr>
              <w:t>可选择对</w:t>
            </w:r>
            <w:r>
              <w:rPr>
                <w:rFonts w:eastAsiaTheme="minorEastAsia"/>
                <w:color w:val="auto"/>
                <w:sz w:val="24"/>
              </w:rPr>
              <w:t>A</w:t>
            </w:r>
            <w:r>
              <w:rPr>
                <w:rFonts w:hint="eastAsia" w:eastAsiaTheme="minorEastAsia"/>
                <w:color w:val="auto"/>
                <w:sz w:val="24"/>
              </w:rPr>
              <w:t>声级影响最大的倍频带计算，一般可选中心频率为</w:t>
            </w:r>
            <w:r>
              <w:rPr>
                <w:rFonts w:eastAsiaTheme="minorEastAsia"/>
                <w:color w:val="auto"/>
                <w:sz w:val="24"/>
              </w:rPr>
              <w:t>500HZ</w:t>
            </w:r>
            <w:r>
              <w:rPr>
                <w:rFonts w:hint="eastAsia" w:eastAsiaTheme="minorEastAsia"/>
                <w:color w:val="auto"/>
                <w:sz w:val="24"/>
              </w:rPr>
              <w:t>的倍频带作估算。</w:t>
            </w:r>
          </w:p>
          <w:p>
            <w:pPr>
              <w:tabs>
                <w:tab w:val="left" w:pos="480"/>
                <w:tab w:val="left" w:pos="960"/>
                <w:tab w:val="left" w:pos="1440"/>
                <w:tab w:val="left" w:pos="1620"/>
                <w:tab w:val="left" w:pos="1920"/>
                <w:tab w:val="left" w:pos="2400"/>
                <w:tab w:val="left" w:pos="2880"/>
                <w:tab w:val="left" w:pos="3360"/>
                <w:tab w:val="left" w:pos="3840"/>
                <w:tab w:val="left" w:pos="4320"/>
              </w:tabs>
              <w:kinsoku w:val="0"/>
              <w:overflowPunct w:val="0"/>
              <w:autoSpaceDE w:val="0"/>
              <w:autoSpaceDN w:val="0"/>
              <w:snapToGrid w:val="0"/>
              <w:spacing w:line="360" w:lineRule="auto"/>
              <w:jc w:val="left"/>
              <w:rPr>
                <w:rFonts w:eastAsiaTheme="minorEastAsia"/>
                <w:color w:val="auto"/>
                <w:sz w:val="24"/>
                <w:szCs w:val="28"/>
              </w:rPr>
            </w:pPr>
            <w:r>
              <w:rPr>
                <w:rFonts w:hint="eastAsia" w:eastAsiaTheme="minorEastAsia"/>
                <w:color w:val="auto"/>
                <w:sz w:val="24"/>
              </w:rPr>
              <w:t>③各种因素引起的衰减量计算</w:t>
            </w:r>
          </w:p>
          <w:p>
            <w:pPr>
              <w:tabs>
                <w:tab w:val="left" w:pos="480"/>
                <w:tab w:val="left" w:pos="960"/>
                <w:tab w:val="left" w:pos="1440"/>
                <w:tab w:val="left" w:pos="1620"/>
                <w:tab w:val="left" w:pos="1920"/>
                <w:tab w:val="left" w:pos="2400"/>
                <w:tab w:val="left" w:pos="2880"/>
                <w:tab w:val="left" w:pos="3360"/>
                <w:tab w:val="left" w:pos="3840"/>
                <w:tab w:val="left" w:pos="4320"/>
              </w:tabs>
              <w:kinsoku w:val="0"/>
              <w:overflowPunct w:val="0"/>
              <w:autoSpaceDE w:val="0"/>
              <w:autoSpaceDN w:val="0"/>
              <w:snapToGrid w:val="0"/>
              <w:spacing w:line="360" w:lineRule="auto"/>
              <w:jc w:val="left"/>
              <w:rPr>
                <w:rFonts w:eastAsiaTheme="minorEastAsia"/>
                <w:color w:val="auto"/>
                <w:sz w:val="24"/>
                <w:szCs w:val="28"/>
              </w:rPr>
            </w:pPr>
            <w:r>
              <w:rPr>
                <w:rFonts w:eastAsiaTheme="minorEastAsia"/>
                <w:color w:val="auto"/>
                <w:sz w:val="24"/>
              </w:rPr>
              <w:t>a.</w:t>
            </w:r>
            <w:r>
              <w:rPr>
                <w:rFonts w:hint="eastAsia" w:eastAsiaTheme="minorEastAsia"/>
                <w:color w:val="auto"/>
                <w:sz w:val="24"/>
              </w:rPr>
              <w:t>几何发散衰减</w:t>
            </w:r>
          </w:p>
          <w:p>
            <w:pPr>
              <w:tabs>
                <w:tab w:val="left" w:pos="480"/>
                <w:tab w:val="left" w:pos="960"/>
                <w:tab w:val="left" w:pos="1440"/>
                <w:tab w:val="left" w:pos="1620"/>
                <w:tab w:val="left" w:pos="1920"/>
                <w:tab w:val="left" w:pos="2400"/>
                <w:tab w:val="left" w:pos="2880"/>
                <w:tab w:val="left" w:pos="3360"/>
                <w:tab w:val="left" w:pos="3840"/>
                <w:tab w:val="left" w:pos="4320"/>
              </w:tabs>
              <w:kinsoku w:val="0"/>
              <w:overflowPunct w:val="0"/>
              <w:autoSpaceDE w:val="0"/>
              <w:autoSpaceDN w:val="0"/>
              <w:snapToGrid w:val="0"/>
              <w:spacing w:line="360" w:lineRule="auto"/>
              <w:jc w:val="center"/>
              <w:rPr>
                <w:rFonts w:eastAsiaTheme="minorEastAsia"/>
                <w:color w:val="auto"/>
                <w:sz w:val="24"/>
                <w:szCs w:val="28"/>
              </w:rPr>
            </w:pPr>
            <w:r>
              <w:rPr>
                <w:rFonts w:eastAsiaTheme="minorEastAsia"/>
                <w:color w:val="auto"/>
                <w:sz w:val="24"/>
              </w:rPr>
              <w:object>
                <v:shape id="_x0000_i1049" o:spt="75" type="#_x0000_t75" style="height:19.4pt;width:87.05pt;" o:ole="t" filled="f" o:preferrelative="t" stroked="f" coordsize="21600,21600">
                  <v:path/>
                  <v:fill on="f" focussize="0,0"/>
                  <v:stroke on="f" joinstyle="miter"/>
                  <v:imagedata r:id="rId65" o:title=""/>
                  <o:lock v:ext="edit" aspectratio="t"/>
                  <w10:wrap type="none"/>
                  <w10:anchorlock/>
                </v:shape>
                <o:OLEObject Type="Embed" ProgID="Equation.3" ShapeID="_x0000_i1049" DrawAspect="Content" ObjectID="_1468075749" r:id="rId64">
                  <o:LockedField>false</o:LockedField>
                </o:OLEObject>
              </w:object>
            </w:r>
          </w:p>
          <w:p>
            <w:pPr>
              <w:spacing w:line="360" w:lineRule="auto"/>
              <w:jc w:val="left"/>
              <w:rPr>
                <w:rFonts w:eastAsiaTheme="minorEastAsia"/>
                <w:color w:val="auto"/>
                <w:sz w:val="24"/>
              </w:rPr>
            </w:pPr>
            <w:r>
              <w:rPr>
                <w:rFonts w:eastAsiaTheme="minorEastAsia"/>
                <w:color w:val="auto"/>
                <w:sz w:val="24"/>
              </w:rPr>
              <w:t xml:space="preserve">b. </w:t>
            </w:r>
            <w:r>
              <w:rPr>
                <w:rFonts w:hint="eastAsia" w:eastAsiaTheme="minorEastAsia"/>
                <w:color w:val="auto"/>
                <w:sz w:val="24"/>
              </w:rPr>
              <w:t>空气吸收引起的衰减量：</w:t>
            </w:r>
          </w:p>
          <w:p>
            <w:pPr>
              <w:spacing w:line="360" w:lineRule="auto"/>
              <w:ind w:left="2940" w:firstLine="480" w:firstLineChars="200"/>
              <w:jc w:val="left"/>
              <w:rPr>
                <w:rFonts w:eastAsiaTheme="minorEastAsia"/>
                <w:color w:val="auto"/>
                <w:sz w:val="24"/>
              </w:rPr>
            </w:pPr>
            <w:r>
              <w:rPr>
                <w:rFonts w:eastAsiaTheme="minorEastAsia"/>
                <w:color w:val="auto"/>
                <w:sz w:val="24"/>
              </w:rPr>
              <w:object>
                <v:shape id="_x0000_i1050" o:spt="75" type="#_x0000_t75" style="height:34.45pt;width:75.15pt;" o:ole="t" filled="f" o:preferrelative="t" stroked="f" coordsize="21600,21600">
                  <v:path/>
                  <v:fill on="f" focussize="0,0"/>
                  <v:stroke on="f" joinstyle="miter"/>
                  <v:imagedata r:id="rId67" o:title=""/>
                  <o:lock v:ext="edit" aspectratio="t"/>
                  <w10:wrap type="none"/>
                  <w10:anchorlock/>
                </v:shape>
                <o:OLEObject Type="Embed" ProgID="Equation.3" ShapeID="_x0000_i1050" DrawAspect="Content" ObjectID="_1468075750" r:id="rId66">
                  <o:LockedField>false</o:LockedField>
                </o:OLEObject>
              </w:object>
            </w:r>
          </w:p>
          <w:p>
            <w:pPr>
              <w:tabs>
                <w:tab w:val="left" w:pos="1620"/>
              </w:tabs>
              <w:spacing w:line="360" w:lineRule="auto"/>
              <w:ind w:firstLine="480" w:firstLineChars="200"/>
              <w:jc w:val="left"/>
              <w:rPr>
                <w:rFonts w:eastAsiaTheme="minorEastAsia"/>
                <w:color w:val="auto"/>
                <w:sz w:val="24"/>
                <w:szCs w:val="24"/>
              </w:rPr>
            </w:pPr>
            <w:r>
              <w:rPr>
                <w:rFonts w:hint="eastAsia" w:eastAsiaTheme="minorEastAsia"/>
                <w:color w:val="auto"/>
                <w:sz w:val="24"/>
              </w:rPr>
              <w:t>式中：</w:t>
            </w:r>
          </w:p>
          <w:p>
            <w:pPr>
              <w:tabs>
                <w:tab w:val="left" w:pos="1620"/>
              </w:tabs>
              <w:spacing w:line="360" w:lineRule="auto"/>
              <w:ind w:firstLine="1080" w:firstLineChars="450"/>
              <w:jc w:val="left"/>
              <w:rPr>
                <w:rFonts w:eastAsiaTheme="minorEastAsia"/>
                <w:color w:val="auto"/>
                <w:sz w:val="24"/>
                <w:szCs w:val="24"/>
              </w:rPr>
            </w:pPr>
            <w:r>
              <w:rPr>
                <w:rFonts w:eastAsiaTheme="minorEastAsia"/>
                <w:color w:val="auto"/>
                <w:sz w:val="24"/>
              </w:rPr>
              <w:t>a——</w:t>
            </w:r>
            <w:r>
              <w:rPr>
                <w:rFonts w:hint="eastAsia" w:eastAsiaTheme="minorEastAsia"/>
                <w:color w:val="auto"/>
                <w:sz w:val="24"/>
              </w:rPr>
              <w:t>空气吸收系数，</w:t>
            </w:r>
            <w:r>
              <w:rPr>
                <w:rFonts w:eastAsiaTheme="minorEastAsia"/>
                <w:color w:val="auto"/>
                <w:sz w:val="24"/>
              </w:rPr>
              <w:t>km/dB</w:t>
            </w:r>
            <w:r>
              <w:rPr>
                <w:rFonts w:hint="eastAsia" w:eastAsiaTheme="minorEastAsia"/>
                <w:color w:val="auto"/>
                <w:sz w:val="24"/>
              </w:rPr>
              <w:t>。</w:t>
            </w:r>
          </w:p>
          <w:p>
            <w:pPr>
              <w:tabs>
                <w:tab w:val="left" w:pos="1620"/>
              </w:tabs>
              <w:spacing w:line="360" w:lineRule="auto"/>
              <w:ind w:firstLine="1080" w:firstLineChars="450"/>
              <w:jc w:val="left"/>
              <w:rPr>
                <w:rFonts w:eastAsiaTheme="minorEastAsia"/>
                <w:color w:val="auto"/>
                <w:sz w:val="24"/>
                <w:szCs w:val="24"/>
              </w:rPr>
            </w:pPr>
            <w:r>
              <w:rPr>
                <w:rFonts w:eastAsiaTheme="minorEastAsia"/>
                <w:color w:val="auto"/>
                <w:sz w:val="24"/>
              </w:rPr>
              <w:t>c——</w:t>
            </w:r>
            <w:r>
              <w:rPr>
                <w:rFonts w:hint="eastAsia" w:eastAsiaTheme="minorEastAsia"/>
                <w:color w:val="auto"/>
                <w:sz w:val="24"/>
              </w:rPr>
              <w:t>地面效应引起的衰减量：</w:t>
            </w:r>
          </w:p>
          <w:p>
            <w:pPr>
              <w:tabs>
                <w:tab w:val="left" w:pos="1620"/>
              </w:tabs>
              <w:spacing w:line="360" w:lineRule="auto"/>
              <w:ind w:left="1260" w:leftChars="600" w:firstLine="480" w:firstLineChars="200"/>
              <w:jc w:val="left"/>
              <w:rPr>
                <w:rFonts w:eastAsiaTheme="minorEastAsia"/>
                <w:color w:val="auto"/>
                <w:sz w:val="24"/>
                <w:szCs w:val="24"/>
              </w:rPr>
            </w:pPr>
            <w:r>
              <w:rPr>
                <w:rFonts w:eastAsiaTheme="minorEastAsia"/>
                <w:color w:val="auto"/>
                <w:sz w:val="24"/>
              </w:rPr>
              <w:object>
                <v:shape id="_x0000_i1051" o:spt="75" type="#_x0000_t75" style="height:34.45pt;width:159.05pt;" o:ole="t" filled="f" o:preferrelative="t" stroked="f" coordsize="21600,21600">
                  <v:path/>
                  <v:fill on="f" focussize="0,0"/>
                  <v:stroke on="f" joinstyle="miter"/>
                  <v:imagedata r:id="rId69" o:title=""/>
                  <o:lock v:ext="edit" aspectratio="t"/>
                  <w10:wrap type="none"/>
                  <w10:anchorlock/>
                </v:shape>
                <o:OLEObject Type="Embed" ProgID="Equation.3" ShapeID="_x0000_i1051" DrawAspect="Content" ObjectID="_1468075751" r:id="rId68">
                  <o:LockedField>false</o:LockedField>
                </o:OLEObject>
              </w:object>
            </w:r>
          </w:p>
          <w:p>
            <w:pPr>
              <w:tabs>
                <w:tab w:val="left" w:pos="360"/>
              </w:tabs>
              <w:spacing w:line="360" w:lineRule="auto"/>
              <w:ind w:firstLine="480" w:firstLineChars="200"/>
              <w:jc w:val="left"/>
              <w:rPr>
                <w:rFonts w:eastAsiaTheme="minorEastAsia"/>
                <w:color w:val="auto"/>
                <w:sz w:val="24"/>
                <w:szCs w:val="28"/>
              </w:rPr>
            </w:pPr>
            <w:r>
              <w:rPr>
                <w:rFonts w:hint="eastAsia" w:eastAsiaTheme="minorEastAsia"/>
                <w:color w:val="auto"/>
                <w:sz w:val="24"/>
              </w:rPr>
              <w:t>式中：</w:t>
            </w:r>
          </w:p>
          <w:p>
            <w:pPr>
              <w:tabs>
                <w:tab w:val="left" w:pos="360"/>
              </w:tabs>
              <w:spacing w:line="360" w:lineRule="auto"/>
              <w:ind w:firstLine="1080" w:firstLineChars="450"/>
              <w:jc w:val="left"/>
              <w:rPr>
                <w:rFonts w:eastAsiaTheme="minorEastAsia"/>
                <w:color w:val="auto"/>
                <w:sz w:val="24"/>
                <w:szCs w:val="28"/>
              </w:rPr>
            </w:pPr>
            <w:r>
              <w:rPr>
                <w:rFonts w:eastAsiaTheme="minorEastAsia"/>
                <w:color w:val="auto"/>
                <w:sz w:val="24"/>
              </w:rPr>
              <w:t>r——</w:t>
            </w:r>
            <w:r>
              <w:rPr>
                <w:rFonts w:hint="eastAsia" w:eastAsiaTheme="minorEastAsia"/>
                <w:color w:val="auto"/>
                <w:sz w:val="24"/>
              </w:rPr>
              <w:t>声源到预测点的距离，</w:t>
            </w:r>
            <w:r>
              <w:rPr>
                <w:rFonts w:eastAsiaTheme="minorEastAsia"/>
                <w:color w:val="auto"/>
                <w:sz w:val="24"/>
              </w:rPr>
              <w:t>m</w:t>
            </w:r>
            <w:r>
              <w:rPr>
                <w:rFonts w:hint="eastAsia" w:eastAsiaTheme="minorEastAsia"/>
                <w:color w:val="auto"/>
                <w:sz w:val="24"/>
              </w:rPr>
              <w:t>；</w:t>
            </w:r>
          </w:p>
          <w:p>
            <w:pPr>
              <w:tabs>
                <w:tab w:val="left" w:pos="360"/>
              </w:tabs>
              <w:spacing w:line="360" w:lineRule="auto"/>
              <w:ind w:firstLine="960" w:firstLineChars="400"/>
              <w:jc w:val="left"/>
              <w:rPr>
                <w:rFonts w:eastAsiaTheme="minorEastAsia"/>
                <w:color w:val="auto"/>
                <w:sz w:val="24"/>
                <w:szCs w:val="28"/>
              </w:rPr>
            </w:pPr>
            <w:r>
              <w:rPr>
                <w:rFonts w:eastAsiaTheme="minorEastAsia"/>
                <w:color w:val="auto"/>
                <w:sz w:val="24"/>
              </w:rPr>
              <w:object>
                <v:shape id="_x0000_i1052" o:spt="75" type="#_x0000_t75" style="height:19.4pt;width:15.05pt;" o:ole="t" filled="f" o:preferrelative="t" stroked="f" coordsize="21600,21600">
                  <v:path/>
                  <v:fill on="f" focussize="0,0"/>
                  <v:stroke on="f" joinstyle="miter"/>
                  <v:imagedata r:id="rId71" o:title=""/>
                  <o:lock v:ext="edit" aspectratio="t"/>
                  <w10:wrap type="none"/>
                  <w10:anchorlock/>
                </v:shape>
                <o:OLEObject Type="Embed" ProgID="Equation.3" ShapeID="_x0000_i1052" DrawAspect="Content" ObjectID="_1468075752" r:id="rId70">
                  <o:LockedField>false</o:LockedField>
                </o:OLEObject>
              </w:object>
            </w:r>
            <w:r>
              <w:rPr>
                <w:rFonts w:eastAsiaTheme="minorEastAsia"/>
                <w:color w:val="auto"/>
                <w:sz w:val="24"/>
              </w:rPr>
              <w:t>——</w:t>
            </w:r>
            <w:r>
              <w:rPr>
                <w:rFonts w:hint="eastAsia" w:eastAsiaTheme="minorEastAsia"/>
                <w:color w:val="auto"/>
                <w:sz w:val="24"/>
              </w:rPr>
              <w:t>传播路径的平均离地高度。</w:t>
            </w:r>
          </w:p>
          <w:p>
            <w:pPr>
              <w:adjustRightInd w:val="0"/>
              <w:snapToGrid w:val="0"/>
              <w:spacing w:before="152" w:after="160" w:line="360" w:lineRule="auto"/>
              <w:jc w:val="left"/>
              <w:textAlignment w:val="baseline"/>
              <w:rPr>
                <w:rFonts w:eastAsiaTheme="minorEastAsia"/>
                <w:color w:val="auto"/>
                <w:sz w:val="24"/>
              </w:rPr>
            </w:pPr>
            <w:r>
              <w:rPr>
                <w:rFonts w:hint="eastAsia" w:eastAsiaTheme="minorEastAsia"/>
                <w:color w:val="auto"/>
                <w:sz w:val="24"/>
              </w:rPr>
              <w:t>④预测点的预测等效声级</w:t>
            </w:r>
          </w:p>
          <w:p>
            <w:pPr>
              <w:adjustRightInd w:val="0"/>
              <w:snapToGrid w:val="0"/>
              <w:spacing w:before="152" w:after="160" w:line="360" w:lineRule="auto"/>
              <w:jc w:val="center"/>
              <w:textAlignment w:val="baseline"/>
              <w:rPr>
                <w:rFonts w:eastAsiaTheme="minorEastAsia"/>
                <w:color w:val="auto"/>
                <w:sz w:val="24"/>
              </w:rPr>
            </w:pPr>
            <w:r>
              <w:rPr>
                <w:rFonts w:eastAsiaTheme="minorEastAsia"/>
                <w:color w:val="auto"/>
                <w:sz w:val="24"/>
              </w:rPr>
              <w:object>
                <v:shape id="_x0000_i1053" o:spt="75" type="#_x0000_t75" style="height:19.4pt;width:144pt;" o:ole="t" filled="f" o:preferrelative="t" stroked="f" coordsize="21600,21600">
                  <v:path/>
                  <v:fill on="f" focussize="0,0"/>
                  <v:stroke on="f" joinstyle="miter"/>
                  <v:imagedata r:id="rId73" o:title=""/>
                  <o:lock v:ext="edit" aspectratio="t"/>
                  <w10:wrap type="none"/>
                  <w10:anchorlock/>
                </v:shape>
                <o:OLEObject Type="Embed" ProgID="Equation.3" ShapeID="_x0000_i1053" DrawAspect="Content" ObjectID="_1468075753" r:id="rId72">
                  <o:LockedField>false</o:LockedField>
                </o:OLEObject>
              </w:object>
            </w:r>
          </w:p>
          <w:p>
            <w:pPr>
              <w:tabs>
                <w:tab w:val="left" w:pos="360"/>
              </w:tabs>
              <w:spacing w:line="360" w:lineRule="auto"/>
              <w:ind w:left="360" w:firstLine="480" w:firstLineChars="200"/>
              <w:jc w:val="left"/>
              <w:rPr>
                <w:rFonts w:eastAsiaTheme="minorEastAsia"/>
                <w:color w:val="auto"/>
                <w:sz w:val="24"/>
              </w:rPr>
            </w:pPr>
            <w:r>
              <w:rPr>
                <w:rFonts w:hint="eastAsia" w:eastAsiaTheme="minorEastAsia"/>
                <w:color w:val="auto"/>
                <w:sz w:val="24"/>
              </w:rPr>
              <w:t>式中：</w:t>
            </w:r>
          </w:p>
          <w:p>
            <w:pPr>
              <w:tabs>
                <w:tab w:val="left" w:pos="360"/>
              </w:tabs>
              <w:spacing w:line="360" w:lineRule="auto"/>
              <w:ind w:left="360" w:firstLine="480" w:firstLineChars="200"/>
              <w:jc w:val="left"/>
              <w:rPr>
                <w:rFonts w:eastAsiaTheme="minorEastAsia"/>
                <w:color w:val="auto"/>
                <w:sz w:val="24"/>
              </w:rPr>
            </w:pPr>
            <w:r>
              <w:rPr>
                <w:rFonts w:eastAsiaTheme="minorEastAsia"/>
                <w:color w:val="auto"/>
                <w:sz w:val="24"/>
              </w:rPr>
              <w:t>Leqg——</w:t>
            </w:r>
            <w:r>
              <w:rPr>
                <w:rFonts w:hint="eastAsia" w:eastAsiaTheme="minorEastAsia"/>
                <w:color w:val="auto"/>
                <w:sz w:val="24"/>
              </w:rPr>
              <w:t>建设项目声源在预测点的等效声级贡献值，</w:t>
            </w:r>
            <w:r>
              <w:rPr>
                <w:rFonts w:eastAsiaTheme="minorEastAsia"/>
                <w:color w:val="auto"/>
                <w:sz w:val="24"/>
              </w:rPr>
              <w:t>dB</w:t>
            </w:r>
            <w:r>
              <w:rPr>
                <w:rFonts w:hint="eastAsia" w:eastAsiaTheme="minorEastAsia"/>
                <w:color w:val="auto"/>
                <w:sz w:val="24"/>
              </w:rPr>
              <w:t>（</w:t>
            </w:r>
            <w:r>
              <w:rPr>
                <w:rFonts w:eastAsiaTheme="minorEastAsia"/>
                <w:color w:val="auto"/>
                <w:sz w:val="24"/>
              </w:rPr>
              <w:t>A</w:t>
            </w:r>
            <w:r>
              <w:rPr>
                <w:rFonts w:hint="eastAsia" w:eastAsiaTheme="minorEastAsia"/>
                <w:color w:val="auto"/>
                <w:sz w:val="24"/>
              </w:rPr>
              <w:t>）；</w:t>
            </w:r>
          </w:p>
          <w:p>
            <w:pPr>
              <w:tabs>
                <w:tab w:val="left" w:pos="360"/>
              </w:tabs>
              <w:spacing w:line="360" w:lineRule="auto"/>
              <w:ind w:left="360" w:firstLine="480" w:firstLineChars="200"/>
              <w:jc w:val="left"/>
              <w:rPr>
                <w:rFonts w:eastAsiaTheme="minorEastAsia"/>
                <w:color w:val="auto"/>
                <w:sz w:val="24"/>
              </w:rPr>
            </w:pPr>
            <w:r>
              <w:rPr>
                <w:rFonts w:eastAsiaTheme="minorEastAsia"/>
                <w:color w:val="auto"/>
                <w:sz w:val="24"/>
              </w:rPr>
              <w:t>Leqb——</w:t>
            </w:r>
            <w:r>
              <w:rPr>
                <w:rFonts w:hint="eastAsia" w:eastAsiaTheme="minorEastAsia"/>
                <w:color w:val="auto"/>
                <w:sz w:val="24"/>
              </w:rPr>
              <w:t>预测点的背值，</w:t>
            </w:r>
            <w:r>
              <w:rPr>
                <w:rFonts w:eastAsiaTheme="minorEastAsia"/>
                <w:color w:val="auto"/>
                <w:sz w:val="24"/>
              </w:rPr>
              <w:t>dB</w:t>
            </w:r>
            <w:r>
              <w:rPr>
                <w:rFonts w:hint="eastAsia" w:eastAsiaTheme="minorEastAsia"/>
                <w:color w:val="auto"/>
                <w:sz w:val="24"/>
              </w:rPr>
              <w:t>（</w:t>
            </w:r>
            <w:r>
              <w:rPr>
                <w:rFonts w:eastAsiaTheme="minorEastAsia"/>
                <w:color w:val="auto"/>
                <w:sz w:val="24"/>
              </w:rPr>
              <w:t>A</w:t>
            </w:r>
            <w:r>
              <w:rPr>
                <w:rFonts w:hint="eastAsia" w:eastAsiaTheme="minorEastAsia"/>
                <w:color w:val="auto"/>
                <w:sz w:val="24"/>
              </w:rPr>
              <w:t>）；</w:t>
            </w:r>
          </w:p>
          <w:p>
            <w:pPr>
              <w:tabs>
                <w:tab w:val="left" w:pos="360"/>
              </w:tabs>
              <w:spacing w:line="360" w:lineRule="auto"/>
              <w:jc w:val="left"/>
              <w:rPr>
                <w:rFonts w:eastAsiaTheme="minorEastAsia"/>
                <w:color w:val="auto"/>
                <w:sz w:val="24"/>
              </w:rPr>
            </w:pPr>
            <w:r>
              <w:rPr>
                <w:rFonts w:eastAsiaTheme="minorEastAsia"/>
                <w:color w:val="auto"/>
                <w:sz w:val="24"/>
              </w:rPr>
              <w:t>3</w:t>
            </w:r>
            <w:r>
              <w:rPr>
                <w:rFonts w:hint="eastAsia" w:eastAsiaTheme="minorEastAsia"/>
                <w:color w:val="auto"/>
                <w:sz w:val="24"/>
              </w:rPr>
              <w:t>）多个室外声源噪声贡献值叠加计算</w:t>
            </w:r>
          </w:p>
          <w:p>
            <w:pPr>
              <w:tabs>
                <w:tab w:val="left" w:pos="360"/>
              </w:tabs>
              <w:spacing w:line="360" w:lineRule="auto"/>
              <w:jc w:val="left"/>
              <w:rPr>
                <w:rFonts w:eastAsiaTheme="minorEastAsia"/>
                <w:color w:val="auto"/>
                <w:sz w:val="24"/>
              </w:rPr>
            </w:pPr>
            <w:r>
              <w:rPr>
                <w:rFonts w:hint="eastAsia" w:eastAsiaTheme="minorEastAsia"/>
                <w:color w:val="auto"/>
                <w:sz w:val="24"/>
              </w:rPr>
              <w:t>①计算声压级</w:t>
            </w:r>
          </w:p>
          <w:p>
            <w:pPr>
              <w:tabs>
                <w:tab w:val="left" w:pos="0"/>
              </w:tabs>
              <w:spacing w:line="360" w:lineRule="auto"/>
              <w:ind w:firstLine="480" w:firstLineChars="200"/>
              <w:rPr>
                <w:rFonts w:eastAsiaTheme="minorEastAsia"/>
                <w:color w:val="auto"/>
                <w:sz w:val="24"/>
              </w:rPr>
            </w:pPr>
            <w:r>
              <w:rPr>
                <w:rFonts w:hint="eastAsia" w:eastAsiaTheme="minorEastAsia"/>
                <w:color w:val="auto"/>
                <w:sz w:val="24"/>
              </w:rPr>
              <w:t>设第</w:t>
            </w:r>
            <w:r>
              <w:rPr>
                <w:rFonts w:eastAsiaTheme="minorEastAsia"/>
                <w:color w:val="auto"/>
                <w:sz w:val="24"/>
              </w:rPr>
              <w:t>i</w:t>
            </w:r>
            <w:r>
              <w:rPr>
                <w:rFonts w:hint="eastAsia" w:eastAsiaTheme="minorEastAsia"/>
                <w:color w:val="auto"/>
                <w:sz w:val="24"/>
              </w:rPr>
              <w:t>个室外声源在预测点产生的</w:t>
            </w:r>
            <w:r>
              <w:rPr>
                <w:rFonts w:eastAsiaTheme="minorEastAsia"/>
                <w:color w:val="auto"/>
                <w:sz w:val="24"/>
              </w:rPr>
              <w:t>A</w:t>
            </w:r>
            <w:r>
              <w:rPr>
                <w:rFonts w:hint="eastAsia" w:eastAsiaTheme="minorEastAsia"/>
                <w:color w:val="auto"/>
                <w:sz w:val="24"/>
              </w:rPr>
              <w:t>声级为</w:t>
            </w:r>
            <w:r>
              <w:rPr>
                <w:rFonts w:eastAsiaTheme="minorEastAsia"/>
                <w:color w:val="auto"/>
                <w:sz w:val="24"/>
              </w:rPr>
              <w:t>LAi</w:t>
            </w:r>
            <w:r>
              <w:rPr>
                <w:rFonts w:hint="eastAsia" w:eastAsiaTheme="minorEastAsia"/>
                <w:color w:val="auto"/>
                <w:sz w:val="24"/>
              </w:rPr>
              <w:t>，在</w:t>
            </w:r>
            <w:r>
              <w:rPr>
                <w:rFonts w:eastAsiaTheme="minorEastAsia"/>
                <w:color w:val="auto"/>
                <w:sz w:val="24"/>
              </w:rPr>
              <w:t>T</w:t>
            </w:r>
            <w:r>
              <w:rPr>
                <w:rFonts w:hint="eastAsia" w:eastAsiaTheme="minorEastAsia"/>
                <w:color w:val="auto"/>
                <w:sz w:val="24"/>
              </w:rPr>
              <w:t>时间内该声源工作时间为</w:t>
            </w:r>
            <w:r>
              <w:rPr>
                <w:rFonts w:eastAsiaTheme="minorEastAsia"/>
                <w:color w:val="auto"/>
                <w:sz w:val="24"/>
              </w:rPr>
              <w:t>ti</w:t>
            </w:r>
            <w:r>
              <w:rPr>
                <w:rFonts w:hint="eastAsia" w:eastAsiaTheme="minorEastAsia"/>
                <w:color w:val="auto"/>
                <w:sz w:val="24"/>
              </w:rPr>
              <w:t>；第</w:t>
            </w:r>
            <w:r>
              <w:rPr>
                <w:rFonts w:eastAsiaTheme="minorEastAsia"/>
                <w:color w:val="auto"/>
                <w:sz w:val="24"/>
              </w:rPr>
              <w:t>j</w:t>
            </w:r>
            <w:r>
              <w:rPr>
                <w:rFonts w:hint="eastAsia" w:eastAsiaTheme="minorEastAsia"/>
                <w:color w:val="auto"/>
                <w:sz w:val="24"/>
              </w:rPr>
              <w:t>个等效室外声源在预测点产生的</w:t>
            </w:r>
            <w:r>
              <w:rPr>
                <w:rFonts w:eastAsiaTheme="minorEastAsia"/>
                <w:color w:val="auto"/>
                <w:sz w:val="24"/>
              </w:rPr>
              <w:t>A</w:t>
            </w:r>
            <w:r>
              <w:rPr>
                <w:rFonts w:hint="eastAsia" w:eastAsiaTheme="minorEastAsia"/>
                <w:color w:val="auto"/>
                <w:sz w:val="24"/>
              </w:rPr>
              <w:t>声级为</w:t>
            </w:r>
            <w:r>
              <w:rPr>
                <w:rFonts w:eastAsiaTheme="minorEastAsia"/>
                <w:color w:val="auto"/>
                <w:sz w:val="24"/>
              </w:rPr>
              <w:t>LA,j</w:t>
            </w:r>
            <w:r>
              <w:rPr>
                <w:rFonts w:hint="eastAsia" w:eastAsiaTheme="minorEastAsia"/>
                <w:color w:val="auto"/>
                <w:sz w:val="24"/>
              </w:rPr>
              <w:t>，在</w:t>
            </w:r>
            <w:r>
              <w:rPr>
                <w:rFonts w:eastAsiaTheme="minorEastAsia"/>
                <w:color w:val="auto"/>
                <w:sz w:val="24"/>
              </w:rPr>
              <w:t>T</w:t>
            </w:r>
            <w:r>
              <w:rPr>
                <w:rFonts w:hint="eastAsia" w:eastAsiaTheme="minorEastAsia"/>
                <w:color w:val="auto"/>
                <w:sz w:val="24"/>
              </w:rPr>
              <w:t>时间内该声源工作时间为</w:t>
            </w:r>
            <w:r>
              <w:rPr>
                <w:rFonts w:eastAsiaTheme="minorEastAsia"/>
                <w:color w:val="auto"/>
                <w:sz w:val="24"/>
              </w:rPr>
              <w:t>tj</w:t>
            </w:r>
            <w:r>
              <w:rPr>
                <w:rFonts w:hint="eastAsia" w:eastAsiaTheme="minorEastAsia"/>
                <w:color w:val="auto"/>
                <w:sz w:val="24"/>
              </w:rPr>
              <w:t>，则预测点的总等效声级为</w:t>
            </w:r>
          </w:p>
          <w:p>
            <w:pPr>
              <w:tabs>
                <w:tab w:val="left" w:pos="360"/>
              </w:tabs>
              <w:spacing w:line="360" w:lineRule="auto"/>
              <w:ind w:left="360" w:firstLine="480" w:firstLineChars="200"/>
              <w:jc w:val="center"/>
              <w:rPr>
                <w:rFonts w:eastAsiaTheme="minorEastAsia"/>
                <w:color w:val="auto"/>
                <w:sz w:val="24"/>
              </w:rPr>
            </w:pPr>
            <w:r>
              <w:rPr>
                <w:rFonts w:eastAsiaTheme="minorEastAsia"/>
                <w:color w:val="auto"/>
                <w:sz w:val="24"/>
              </w:rPr>
              <w:object>
                <v:shape id="_x0000_i1054" o:spt="75" type="#_x0000_t75" style="height:34.45pt;width:189.1pt;" o:ole="t" filled="f" o:preferrelative="t" stroked="f" coordsize="21600,21600">
                  <v:path/>
                  <v:fill on="f" focussize="0,0"/>
                  <v:stroke on="f" joinstyle="miter"/>
                  <v:imagedata r:id="rId75" o:title=""/>
                  <o:lock v:ext="edit" aspectratio="t"/>
                  <w10:wrap type="none"/>
                  <w10:anchorlock/>
                </v:shape>
                <o:OLEObject Type="Embed" ProgID="Equation.DSMT4" ShapeID="_x0000_i1054" DrawAspect="Content" ObjectID="_1468075754" r:id="rId74">
                  <o:LockedField>false</o:LockedField>
                </o:OLEObject>
              </w:object>
            </w:r>
          </w:p>
          <w:p>
            <w:pPr>
              <w:numPr>
                <w:ilvl w:val="0"/>
                <w:numId w:val="2"/>
              </w:numPr>
              <w:adjustRightInd w:val="0"/>
              <w:snapToGrid w:val="0"/>
              <w:spacing w:line="360" w:lineRule="auto"/>
              <w:ind w:firstLine="480" w:firstLineChars="200"/>
              <w:textAlignment w:val="baseline"/>
              <w:rPr>
                <w:rFonts w:eastAsiaTheme="minorEastAsia"/>
                <w:color w:val="auto"/>
                <w:sz w:val="24"/>
                <w:szCs w:val="24"/>
              </w:rPr>
            </w:pPr>
            <w:r>
              <w:rPr>
                <w:rFonts w:hint="eastAsia" w:eastAsiaTheme="minorEastAsia"/>
                <w:color w:val="auto"/>
                <w:sz w:val="24"/>
              </w:rPr>
              <w:t>式中：</w:t>
            </w:r>
          </w:p>
          <w:p>
            <w:pPr>
              <w:numPr>
                <w:ilvl w:val="0"/>
                <w:numId w:val="2"/>
              </w:numPr>
              <w:adjustRightInd w:val="0"/>
              <w:snapToGrid w:val="0"/>
              <w:spacing w:line="360" w:lineRule="auto"/>
              <w:ind w:firstLine="480" w:firstLineChars="200"/>
              <w:textAlignment w:val="baseline"/>
              <w:rPr>
                <w:rFonts w:eastAsiaTheme="minorEastAsia"/>
                <w:color w:val="auto"/>
                <w:sz w:val="24"/>
                <w:szCs w:val="24"/>
              </w:rPr>
            </w:pPr>
            <w:r>
              <w:rPr>
                <w:rFonts w:eastAsiaTheme="minorEastAsia"/>
                <w:color w:val="auto"/>
                <w:sz w:val="24"/>
              </w:rPr>
              <w:t>ti—</w:t>
            </w:r>
            <w:r>
              <w:rPr>
                <w:rFonts w:hint="eastAsia" w:eastAsiaTheme="minorEastAsia"/>
                <w:color w:val="auto"/>
                <w:sz w:val="24"/>
              </w:rPr>
              <w:t>在</w:t>
            </w:r>
            <w:r>
              <w:rPr>
                <w:rFonts w:eastAsiaTheme="minorEastAsia"/>
                <w:color w:val="auto"/>
                <w:sz w:val="24"/>
              </w:rPr>
              <w:t>T</w:t>
            </w:r>
            <w:r>
              <w:rPr>
                <w:rFonts w:hint="eastAsia" w:eastAsiaTheme="minorEastAsia"/>
                <w:color w:val="auto"/>
                <w:sz w:val="24"/>
              </w:rPr>
              <w:t>时间内</w:t>
            </w:r>
            <w:r>
              <w:rPr>
                <w:rFonts w:eastAsiaTheme="minorEastAsia"/>
                <w:color w:val="auto"/>
                <w:sz w:val="24"/>
              </w:rPr>
              <w:t>j</w:t>
            </w:r>
            <w:r>
              <w:rPr>
                <w:rFonts w:hint="eastAsia" w:eastAsiaTheme="minorEastAsia"/>
                <w:color w:val="auto"/>
                <w:sz w:val="24"/>
              </w:rPr>
              <w:t>声源工作时间，</w:t>
            </w:r>
            <w:r>
              <w:rPr>
                <w:rFonts w:eastAsiaTheme="minorEastAsia"/>
                <w:color w:val="auto"/>
                <w:sz w:val="24"/>
              </w:rPr>
              <w:t>s</w:t>
            </w:r>
            <w:r>
              <w:rPr>
                <w:rFonts w:hint="eastAsia" w:eastAsiaTheme="minorEastAsia"/>
                <w:color w:val="auto"/>
                <w:sz w:val="24"/>
              </w:rPr>
              <w:t>；</w:t>
            </w:r>
          </w:p>
          <w:p>
            <w:pPr>
              <w:numPr>
                <w:ilvl w:val="0"/>
                <w:numId w:val="2"/>
              </w:numPr>
              <w:adjustRightInd w:val="0"/>
              <w:snapToGrid w:val="0"/>
              <w:spacing w:line="360" w:lineRule="auto"/>
              <w:ind w:firstLine="360" w:firstLineChars="150"/>
              <w:textAlignment w:val="baseline"/>
              <w:rPr>
                <w:rFonts w:eastAsiaTheme="minorEastAsia"/>
                <w:color w:val="auto"/>
                <w:sz w:val="24"/>
                <w:szCs w:val="24"/>
              </w:rPr>
            </w:pPr>
            <w:r>
              <w:rPr>
                <w:rFonts w:eastAsiaTheme="minorEastAsia"/>
                <w:color w:val="auto"/>
                <w:sz w:val="24"/>
              </w:rPr>
              <w:t xml:space="preserve"> tj—</w:t>
            </w:r>
            <w:r>
              <w:rPr>
                <w:rFonts w:hint="eastAsia" w:eastAsiaTheme="minorEastAsia"/>
                <w:color w:val="auto"/>
                <w:sz w:val="24"/>
              </w:rPr>
              <w:t>在</w:t>
            </w:r>
            <w:r>
              <w:rPr>
                <w:rFonts w:eastAsiaTheme="minorEastAsia"/>
                <w:color w:val="auto"/>
                <w:sz w:val="24"/>
              </w:rPr>
              <w:t>T</w:t>
            </w:r>
            <w:r>
              <w:rPr>
                <w:rFonts w:hint="eastAsia" w:eastAsiaTheme="minorEastAsia"/>
                <w:color w:val="auto"/>
                <w:sz w:val="24"/>
              </w:rPr>
              <w:t>时间内</w:t>
            </w:r>
            <w:r>
              <w:rPr>
                <w:rFonts w:eastAsiaTheme="minorEastAsia"/>
                <w:color w:val="auto"/>
                <w:sz w:val="24"/>
              </w:rPr>
              <w:t>i</w:t>
            </w:r>
            <w:r>
              <w:rPr>
                <w:rFonts w:hint="eastAsia" w:eastAsiaTheme="minorEastAsia"/>
                <w:color w:val="auto"/>
                <w:sz w:val="24"/>
              </w:rPr>
              <w:t>声源工作时间，</w:t>
            </w:r>
            <w:r>
              <w:rPr>
                <w:rFonts w:eastAsiaTheme="minorEastAsia"/>
                <w:color w:val="auto"/>
                <w:sz w:val="24"/>
              </w:rPr>
              <w:t>s</w:t>
            </w:r>
            <w:r>
              <w:rPr>
                <w:rFonts w:hint="eastAsia" w:eastAsiaTheme="minorEastAsia"/>
                <w:color w:val="auto"/>
                <w:sz w:val="24"/>
              </w:rPr>
              <w:t>；</w:t>
            </w:r>
          </w:p>
          <w:p>
            <w:pPr>
              <w:numPr>
                <w:ilvl w:val="0"/>
                <w:numId w:val="2"/>
              </w:numPr>
              <w:adjustRightInd w:val="0"/>
              <w:snapToGrid w:val="0"/>
              <w:spacing w:line="360" w:lineRule="auto"/>
              <w:ind w:firstLine="360" w:firstLineChars="150"/>
              <w:textAlignment w:val="baseline"/>
              <w:rPr>
                <w:rFonts w:eastAsiaTheme="minorEastAsia"/>
                <w:color w:val="auto"/>
                <w:sz w:val="24"/>
                <w:szCs w:val="24"/>
              </w:rPr>
            </w:pPr>
            <w:r>
              <w:rPr>
                <w:rFonts w:eastAsiaTheme="minorEastAsia"/>
                <w:color w:val="auto"/>
                <w:sz w:val="24"/>
              </w:rPr>
              <w:t>T—</w:t>
            </w:r>
            <w:r>
              <w:rPr>
                <w:rFonts w:hint="eastAsia" w:eastAsiaTheme="minorEastAsia"/>
                <w:color w:val="auto"/>
                <w:sz w:val="24"/>
              </w:rPr>
              <w:t>计算等效声级的时间，</w:t>
            </w:r>
            <w:r>
              <w:rPr>
                <w:rFonts w:eastAsiaTheme="minorEastAsia"/>
                <w:color w:val="auto"/>
                <w:sz w:val="24"/>
              </w:rPr>
              <w:t>h;</w:t>
            </w:r>
          </w:p>
          <w:p>
            <w:pPr>
              <w:numPr>
                <w:ilvl w:val="0"/>
                <w:numId w:val="2"/>
              </w:numPr>
              <w:adjustRightInd w:val="0"/>
              <w:snapToGrid w:val="0"/>
              <w:spacing w:line="360" w:lineRule="auto"/>
              <w:ind w:firstLine="480" w:firstLineChars="200"/>
              <w:textAlignment w:val="baseline"/>
              <w:rPr>
                <w:rFonts w:eastAsiaTheme="minorEastAsia"/>
                <w:color w:val="auto"/>
                <w:sz w:val="24"/>
                <w:szCs w:val="24"/>
              </w:rPr>
            </w:pPr>
            <w:r>
              <w:rPr>
                <w:rFonts w:eastAsiaTheme="minorEastAsia"/>
                <w:color w:val="auto"/>
                <w:sz w:val="24"/>
              </w:rPr>
              <w:t>N—</w:t>
            </w:r>
            <w:r>
              <w:rPr>
                <w:rFonts w:hint="eastAsia" w:eastAsiaTheme="minorEastAsia"/>
                <w:color w:val="auto"/>
                <w:sz w:val="24"/>
              </w:rPr>
              <w:t>室外声源个数，</w:t>
            </w:r>
            <w:r>
              <w:rPr>
                <w:rFonts w:eastAsiaTheme="minorEastAsia"/>
                <w:color w:val="auto"/>
                <w:sz w:val="24"/>
              </w:rPr>
              <w:t>M</w:t>
            </w:r>
            <w:r>
              <w:rPr>
                <w:rFonts w:hint="eastAsia" w:eastAsiaTheme="minorEastAsia"/>
                <w:color w:val="auto"/>
                <w:sz w:val="24"/>
              </w:rPr>
              <w:t>等效室外声源个数。</w:t>
            </w:r>
          </w:p>
          <w:p>
            <w:pPr>
              <w:numPr>
                <w:ilvl w:val="0"/>
                <w:numId w:val="2"/>
              </w:numPr>
              <w:adjustRightInd w:val="0"/>
              <w:snapToGrid w:val="0"/>
              <w:spacing w:line="360" w:lineRule="auto"/>
              <w:ind w:firstLine="480" w:firstLineChars="200"/>
              <w:textAlignment w:val="baseline"/>
              <w:rPr>
                <w:rFonts w:eastAsiaTheme="minorEastAsia"/>
                <w:color w:val="auto"/>
                <w:sz w:val="24"/>
                <w:szCs w:val="24"/>
              </w:rPr>
            </w:pPr>
            <w:r>
              <w:rPr>
                <w:rFonts w:eastAsiaTheme="minorEastAsia"/>
                <w:color w:val="auto"/>
                <w:sz w:val="24"/>
              </w:rPr>
              <w:t>4</w:t>
            </w:r>
            <w:r>
              <w:rPr>
                <w:rFonts w:hint="eastAsia" w:eastAsiaTheme="minorEastAsia"/>
                <w:color w:val="auto"/>
                <w:sz w:val="24"/>
              </w:rPr>
              <w:t>）噪声叠加值计算</w:t>
            </w:r>
          </w:p>
          <w:p>
            <w:pPr>
              <w:numPr>
                <w:ilvl w:val="0"/>
                <w:numId w:val="2"/>
              </w:numPr>
              <w:adjustRightInd w:val="0"/>
              <w:snapToGrid w:val="0"/>
              <w:spacing w:line="360" w:lineRule="auto"/>
              <w:ind w:firstLine="480" w:firstLineChars="200"/>
              <w:jc w:val="center"/>
              <w:textAlignment w:val="baseline"/>
              <w:rPr>
                <w:rFonts w:eastAsiaTheme="minorEastAsia"/>
                <w:color w:val="auto"/>
                <w:sz w:val="24"/>
                <w:szCs w:val="24"/>
              </w:rPr>
            </w:pPr>
            <w:r>
              <w:rPr>
                <w:rFonts w:eastAsiaTheme="minorEastAsia"/>
                <w:color w:val="auto"/>
                <w:sz w:val="24"/>
              </w:rPr>
              <w:object>
                <v:shape id="_x0000_i1055" o:spt="75" type="#_x0000_t75" style="height:19.4pt;width:144pt;" o:ole="t" filled="f" o:preferrelative="t" stroked="f" coordsize="21600,21600">
                  <v:path/>
                  <v:fill on="f" focussize="0,0"/>
                  <v:stroke on="f" joinstyle="miter"/>
                  <v:imagedata r:id="rId73" o:title=""/>
                  <o:lock v:ext="edit" aspectratio="t"/>
                  <w10:wrap type="none"/>
                  <w10:anchorlock/>
                </v:shape>
                <o:OLEObject Type="Embed" ProgID="Equation.3" ShapeID="_x0000_i1055" DrawAspect="Content" ObjectID="_1468075755" r:id="rId76">
                  <o:LockedField>false</o:LockedField>
                </o:OLEObject>
              </w:object>
            </w:r>
          </w:p>
          <w:p>
            <w:pPr>
              <w:snapToGrid w:val="0"/>
              <w:spacing w:line="360" w:lineRule="auto"/>
              <w:ind w:firstLine="600" w:firstLineChars="250"/>
              <w:rPr>
                <w:rFonts w:ascii="Arial" w:hAnsi="Arial" w:cs="Arial" w:eastAsiaTheme="minorEastAsia"/>
                <w:color w:val="auto"/>
                <w:sz w:val="24"/>
                <w:szCs w:val="24"/>
              </w:rPr>
            </w:pPr>
            <w:r>
              <w:rPr>
                <w:rFonts w:hint="eastAsia" w:eastAsiaTheme="minorEastAsia"/>
                <w:color w:val="auto"/>
                <w:sz w:val="24"/>
              </w:rPr>
              <w:t>式中：</w:t>
            </w:r>
          </w:p>
          <w:p>
            <w:pPr>
              <w:snapToGrid w:val="0"/>
              <w:spacing w:line="360" w:lineRule="auto"/>
              <w:ind w:firstLine="1080" w:firstLineChars="450"/>
              <w:rPr>
                <w:rFonts w:ascii="Arial" w:hAnsi="Arial" w:cs="Arial" w:eastAsiaTheme="minorEastAsia"/>
                <w:color w:val="auto"/>
                <w:sz w:val="24"/>
                <w:szCs w:val="24"/>
              </w:rPr>
            </w:pPr>
            <w:r>
              <w:rPr>
                <w:rFonts w:eastAsiaTheme="minorEastAsia"/>
                <w:color w:val="auto"/>
                <w:sz w:val="24"/>
              </w:rPr>
              <w:t>Leqg——</w:t>
            </w:r>
            <w:r>
              <w:rPr>
                <w:rFonts w:hint="eastAsia" w:eastAsiaTheme="minorEastAsia"/>
                <w:color w:val="auto"/>
                <w:sz w:val="24"/>
              </w:rPr>
              <w:t>建设项目声源在预测点的等效声级贡献值，</w:t>
            </w:r>
            <w:r>
              <w:rPr>
                <w:rFonts w:eastAsiaTheme="minorEastAsia"/>
                <w:color w:val="auto"/>
                <w:sz w:val="24"/>
              </w:rPr>
              <w:t>dB</w:t>
            </w:r>
            <w:r>
              <w:rPr>
                <w:rFonts w:hint="eastAsia" w:eastAsiaTheme="minorEastAsia"/>
                <w:color w:val="auto"/>
                <w:sz w:val="24"/>
              </w:rPr>
              <w:t>（</w:t>
            </w:r>
            <w:r>
              <w:rPr>
                <w:rFonts w:eastAsiaTheme="minorEastAsia"/>
                <w:color w:val="auto"/>
                <w:sz w:val="24"/>
              </w:rPr>
              <w:t>A</w:t>
            </w:r>
            <w:r>
              <w:rPr>
                <w:rFonts w:hint="eastAsia" w:eastAsiaTheme="minorEastAsia"/>
                <w:color w:val="auto"/>
                <w:sz w:val="24"/>
              </w:rPr>
              <w:t>）；</w:t>
            </w:r>
          </w:p>
          <w:p>
            <w:pPr>
              <w:snapToGrid w:val="0"/>
              <w:spacing w:line="360" w:lineRule="auto"/>
              <w:ind w:firstLine="1080" w:firstLineChars="450"/>
              <w:rPr>
                <w:rFonts w:ascii="Arial" w:hAnsi="Arial" w:cs="Arial" w:eastAsiaTheme="minorEastAsia"/>
                <w:color w:val="auto"/>
                <w:sz w:val="24"/>
                <w:szCs w:val="24"/>
              </w:rPr>
            </w:pPr>
            <w:r>
              <w:rPr>
                <w:rFonts w:eastAsiaTheme="minorEastAsia"/>
                <w:color w:val="auto"/>
                <w:sz w:val="24"/>
              </w:rPr>
              <w:t>Leqb——</w:t>
            </w:r>
            <w:r>
              <w:rPr>
                <w:rFonts w:hint="eastAsia" w:eastAsiaTheme="minorEastAsia"/>
                <w:color w:val="auto"/>
                <w:sz w:val="24"/>
              </w:rPr>
              <w:t>预测点的背值，</w:t>
            </w:r>
            <w:r>
              <w:rPr>
                <w:rFonts w:eastAsiaTheme="minorEastAsia"/>
                <w:color w:val="auto"/>
                <w:sz w:val="24"/>
              </w:rPr>
              <w:t>dB</w:t>
            </w:r>
            <w:r>
              <w:rPr>
                <w:rFonts w:hint="eastAsia" w:eastAsiaTheme="minorEastAsia"/>
                <w:color w:val="auto"/>
                <w:sz w:val="24"/>
              </w:rPr>
              <w:t>（</w:t>
            </w:r>
            <w:r>
              <w:rPr>
                <w:rFonts w:eastAsiaTheme="minorEastAsia"/>
                <w:color w:val="auto"/>
                <w:sz w:val="24"/>
              </w:rPr>
              <w:t>A</w:t>
            </w:r>
            <w:r>
              <w:rPr>
                <w:rFonts w:hint="eastAsia" w:eastAsiaTheme="minorEastAsia"/>
                <w:color w:val="auto"/>
                <w:sz w:val="24"/>
              </w:rPr>
              <w:t>）。</w:t>
            </w:r>
          </w:p>
          <w:p>
            <w:pPr>
              <w:snapToGrid w:val="0"/>
              <w:spacing w:line="360" w:lineRule="auto"/>
              <w:rPr>
                <w:rFonts w:eastAsiaTheme="minorEastAsia"/>
                <w:color w:val="auto"/>
                <w:sz w:val="24"/>
              </w:rPr>
            </w:pPr>
            <w:r>
              <w:rPr>
                <w:rFonts w:hint="eastAsia" w:eastAsiaTheme="minorEastAsia"/>
                <w:color w:val="auto"/>
                <w:sz w:val="24"/>
              </w:rPr>
              <w:t>（</w:t>
            </w:r>
            <w:r>
              <w:rPr>
                <w:rFonts w:eastAsiaTheme="minorEastAsia"/>
                <w:color w:val="auto"/>
                <w:sz w:val="24"/>
              </w:rPr>
              <w:t>2</w:t>
            </w:r>
            <w:r>
              <w:rPr>
                <w:rFonts w:hint="eastAsia" w:eastAsiaTheme="minorEastAsia"/>
                <w:color w:val="auto"/>
                <w:sz w:val="24"/>
              </w:rPr>
              <w:t>）预测参数及预测结果</w:t>
            </w:r>
          </w:p>
          <w:p>
            <w:pPr>
              <w:snapToGrid w:val="0"/>
              <w:spacing w:line="360" w:lineRule="auto"/>
              <w:ind w:firstLine="480" w:firstLineChars="200"/>
              <w:rPr>
                <w:rFonts w:eastAsiaTheme="minorEastAsia"/>
                <w:color w:val="auto"/>
                <w:sz w:val="24"/>
              </w:rPr>
            </w:pPr>
            <w:r>
              <w:rPr>
                <w:rFonts w:hint="eastAsia"/>
                <w:color w:val="auto"/>
                <w:sz w:val="24"/>
                <w:u w:val="single"/>
              </w:rPr>
              <w:t>根据建设方提供资料，</w:t>
            </w:r>
            <w:r>
              <w:rPr>
                <w:rFonts w:hint="eastAsia" w:eastAsiaTheme="minorEastAsia"/>
                <w:color w:val="auto"/>
                <w:sz w:val="24"/>
                <w:u w:val="single"/>
              </w:rPr>
              <w:t>本工程采用距单台主变压器</w:t>
            </w:r>
            <w:r>
              <w:rPr>
                <w:rFonts w:eastAsiaTheme="minorEastAsia"/>
                <w:color w:val="auto"/>
                <w:sz w:val="24"/>
                <w:u w:val="single"/>
              </w:rPr>
              <w:t>1m</w:t>
            </w:r>
            <w:r>
              <w:rPr>
                <w:rFonts w:hint="eastAsia" w:eastAsiaTheme="minorEastAsia"/>
                <w:color w:val="auto"/>
                <w:sz w:val="24"/>
                <w:u w:val="single"/>
              </w:rPr>
              <w:t>处噪声源强约为</w:t>
            </w:r>
            <w:r>
              <w:rPr>
                <w:rFonts w:eastAsiaTheme="minorEastAsia"/>
                <w:color w:val="auto"/>
                <w:sz w:val="24"/>
                <w:u w:val="single"/>
              </w:rPr>
              <w:t>65dB</w:t>
            </w:r>
            <w:r>
              <w:rPr>
                <w:rFonts w:hint="eastAsia" w:eastAsiaTheme="minorEastAsia"/>
                <w:color w:val="auto"/>
                <w:sz w:val="24"/>
                <w:u w:val="single"/>
              </w:rPr>
              <w:t>（</w:t>
            </w:r>
            <w:r>
              <w:rPr>
                <w:rFonts w:eastAsiaTheme="minorEastAsia"/>
                <w:color w:val="auto"/>
                <w:sz w:val="24"/>
                <w:u w:val="single"/>
              </w:rPr>
              <w:t>A</w:t>
            </w:r>
            <w:r>
              <w:rPr>
                <w:rFonts w:hint="eastAsia" w:eastAsiaTheme="minorEastAsia"/>
                <w:color w:val="auto"/>
                <w:sz w:val="24"/>
                <w:u w:val="single"/>
              </w:rPr>
              <w:t>），单台制冷量12KW的工业级储能舱空调和防爆轴流风机（3500m</w:t>
            </w:r>
            <w:r>
              <w:rPr>
                <w:rFonts w:eastAsiaTheme="minorEastAsia"/>
                <w:color w:val="auto"/>
                <w:sz w:val="24"/>
                <w:u w:val="single"/>
                <w:vertAlign w:val="superscript"/>
              </w:rPr>
              <w:t>3</w:t>
            </w:r>
            <w:r>
              <w:rPr>
                <w:rFonts w:hint="eastAsia" w:eastAsiaTheme="minorEastAsia"/>
                <w:color w:val="auto"/>
                <w:sz w:val="24"/>
                <w:u w:val="single"/>
              </w:rPr>
              <w:t>/h风量）的等效声级约为</w:t>
            </w:r>
            <w:r>
              <w:rPr>
                <w:rFonts w:eastAsiaTheme="minorEastAsia"/>
                <w:color w:val="auto"/>
                <w:sz w:val="24"/>
                <w:u w:val="single"/>
              </w:rPr>
              <w:t>7</w:t>
            </w:r>
            <w:r>
              <w:rPr>
                <w:rFonts w:hint="eastAsia" w:eastAsiaTheme="minorEastAsia"/>
                <w:color w:val="auto"/>
                <w:sz w:val="24"/>
                <w:u w:val="single"/>
              </w:rPr>
              <w:t>0</w:t>
            </w:r>
            <w:r>
              <w:rPr>
                <w:rFonts w:eastAsiaTheme="minorEastAsia"/>
                <w:color w:val="auto"/>
                <w:sz w:val="24"/>
                <w:u w:val="single"/>
              </w:rPr>
              <w:t>dB</w:t>
            </w:r>
            <w:r>
              <w:rPr>
                <w:rFonts w:hint="eastAsia" w:eastAsiaTheme="minorEastAsia"/>
                <w:color w:val="auto"/>
                <w:sz w:val="24"/>
                <w:u w:val="single"/>
              </w:rPr>
              <w:t>（</w:t>
            </w:r>
            <w:r>
              <w:rPr>
                <w:rFonts w:eastAsiaTheme="minorEastAsia"/>
                <w:color w:val="auto"/>
                <w:sz w:val="24"/>
                <w:u w:val="single"/>
              </w:rPr>
              <w:t>A</w:t>
            </w:r>
            <w:r>
              <w:rPr>
                <w:rFonts w:hint="eastAsia" w:eastAsiaTheme="minorEastAsia"/>
                <w:color w:val="auto"/>
                <w:sz w:val="24"/>
                <w:u w:val="single"/>
              </w:rPr>
              <w:t>），主机均在储能舱南北向布置，风机均朝向东侧布置。</w:t>
            </w:r>
          </w:p>
          <w:p>
            <w:pPr>
              <w:snapToGrid w:val="0"/>
              <w:spacing w:line="360" w:lineRule="auto"/>
              <w:ind w:firstLine="422" w:firstLineChars="200"/>
              <w:jc w:val="center"/>
              <w:rPr>
                <w:b/>
                <w:color w:val="auto"/>
                <w:szCs w:val="21"/>
                <w:u w:val="single"/>
              </w:rPr>
            </w:pPr>
            <w:r>
              <w:rPr>
                <w:rFonts w:hint="eastAsia"/>
                <w:b/>
                <w:color w:val="auto"/>
                <w:szCs w:val="21"/>
                <w:u w:val="single"/>
              </w:rPr>
              <w:t>表</w:t>
            </w:r>
            <w:r>
              <w:rPr>
                <w:b/>
                <w:color w:val="auto"/>
                <w:szCs w:val="21"/>
                <w:u w:val="single"/>
              </w:rPr>
              <w:t xml:space="preserve">7-1  </w:t>
            </w:r>
            <w:r>
              <w:rPr>
                <w:rFonts w:hint="eastAsia"/>
                <w:b/>
                <w:color w:val="auto"/>
                <w:szCs w:val="21"/>
                <w:u w:val="single"/>
              </w:rPr>
              <w:t>噪声预测参数</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553"/>
              <w:gridCol w:w="1133"/>
              <w:gridCol w:w="4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snapToGrid w:val="0"/>
                    <w:jc w:val="center"/>
                    <w:rPr>
                      <w:rFonts w:eastAsiaTheme="minorEastAsia"/>
                      <w:color w:val="auto"/>
                      <w:szCs w:val="21"/>
                      <w:u w:val="single"/>
                    </w:rPr>
                  </w:pPr>
                  <w:r>
                    <w:rPr>
                      <w:rFonts w:hint="eastAsia" w:eastAsiaTheme="minorEastAsia"/>
                      <w:color w:val="auto"/>
                      <w:szCs w:val="21"/>
                      <w:u w:val="single"/>
                    </w:rPr>
                    <w:t>序号</w:t>
                  </w:r>
                </w:p>
              </w:tc>
              <w:tc>
                <w:tcPr>
                  <w:tcW w:w="1445" w:type="pct"/>
                  <w:vAlign w:val="center"/>
                </w:tcPr>
                <w:p>
                  <w:pPr>
                    <w:snapToGrid w:val="0"/>
                    <w:jc w:val="center"/>
                    <w:rPr>
                      <w:rFonts w:eastAsiaTheme="minorEastAsia"/>
                      <w:color w:val="auto"/>
                      <w:szCs w:val="21"/>
                      <w:u w:val="single"/>
                    </w:rPr>
                  </w:pPr>
                  <w:r>
                    <w:rPr>
                      <w:rFonts w:hint="eastAsia" w:eastAsiaTheme="minorEastAsia"/>
                      <w:color w:val="auto"/>
                      <w:szCs w:val="21"/>
                      <w:u w:val="single"/>
                    </w:rPr>
                    <w:t>噪声源</w:t>
                  </w:r>
                </w:p>
              </w:tc>
              <w:tc>
                <w:tcPr>
                  <w:tcW w:w="641" w:type="pct"/>
                  <w:vAlign w:val="center"/>
                </w:tcPr>
                <w:p>
                  <w:pPr>
                    <w:snapToGrid w:val="0"/>
                    <w:jc w:val="center"/>
                    <w:rPr>
                      <w:rFonts w:eastAsiaTheme="minorEastAsia"/>
                      <w:color w:val="auto"/>
                      <w:szCs w:val="21"/>
                      <w:u w:val="single"/>
                    </w:rPr>
                  </w:pPr>
                  <w:r>
                    <w:rPr>
                      <w:rFonts w:hint="eastAsia" w:eastAsiaTheme="minorEastAsia"/>
                      <w:color w:val="auto"/>
                      <w:szCs w:val="21"/>
                      <w:u w:val="single"/>
                    </w:rPr>
                    <w:t>单台源强（</w:t>
                  </w:r>
                  <w:r>
                    <w:rPr>
                      <w:rFonts w:eastAsiaTheme="minorEastAsia"/>
                      <w:color w:val="auto"/>
                      <w:szCs w:val="21"/>
                      <w:u w:val="single"/>
                    </w:rPr>
                    <w:t>dB</w:t>
                  </w:r>
                  <w:r>
                    <w:rPr>
                      <w:rFonts w:hint="eastAsia" w:eastAsiaTheme="minorEastAsia"/>
                      <w:color w:val="auto"/>
                      <w:szCs w:val="21"/>
                      <w:u w:val="single"/>
                    </w:rPr>
                    <w:t>（</w:t>
                  </w:r>
                  <w:r>
                    <w:rPr>
                      <w:rFonts w:eastAsiaTheme="minorEastAsia"/>
                      <w:color w:val="auto"/>
                      <w:szCs w:val="21"/>
                      <w:u w:val="single"/>
                    </w:rPr>
                    <w:t>A</w:t>
                  </w:r>
                  <w:r>
                    <w:rPr>
                      <w:rFonts w:hint="eastAsia" w:eastAsiaTheme="minorEastAsia"/>
                      <w:color w:val="auto"/>
                      <w:szCs w:val="21"/>
                      <w:u w:val="single"/>
                    </w:rPr>
                    <w:t>））</w:t>
                  </w:r>
                </w:p>
              </w:tc>
              <w:tc>
                <w:tcPr>
                  <w:tcW w:w="2516" w:type="pct"/>
                  <w:vAlign w:val="center"/>
                </w:tcPr>
                <w:p>
                  <w:pPr>
                    <w:snapToGrid w:val="0"/>
                    <w:jc w:val="center"/>
                    <w:rPr>
                      <w:rFonts w:eastAsiaTheme="minorEastAsia"/>
                      <w:color w:val="auto"/>
                      <w:szCs w:val="21"/>
                      <w:u w:val="single"/>
                    </w:rPr>
                  </w:pPr>
                  <w:r>
                    <w:rPr>
                      <w:rFonts w:hint="eastAsia" w:eastAsiaTheme="minorEastAsia"/>
                      <w:color w:val="auto"/>
                      <w:szCs w:val="21"/>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snapToGrid w:val="0"/>
                    <w:jc w:val="center"/>
                    <w:rPr>
                      <w:rFonts w:eastAsiaTheme="minorEastAsia"/>
                      <w:color w:val="auto"/>
                      <w:szCs w:val="21"/>
                      <w:u w:val="single"/>
                    </w:rPr>
                  </w:pPr>
                  <w:r>
                    <w:rPr>
                      <w:rFonts w:eastAsiaTheme="minorEastAsia"/>
                      <w:color w:val="auto"/>
                      <w:szCs w:val="21"/>
                      <w:u w:val="single"/>
                    </w:rPr>
                    <w:t>1</w:t>
                  </w:r>
                </w:p>
              </w:tc>
              <w:tc>
                <w:tcPr>
                  <w:tcW w:w="1445" w:type="pct"/>
                  <w:vAlign w:val="center"/>
                </w:tcPr>
                <w:p>
                  <w:pPr>
                    <w:snapToGrid w:val="0"/>
                    <w:jc w:val="center"/>
                    <w:rPr>
                      <w:rFonts w:eastAsiaTheme="minorEastAsia"/>
                      <w:color w:val="auto"/>
                      <w:szCs w:val="21"/>
                      <w:u w:val="single"/>
                    </w:rPr>
                  </w:pPr>
                  <w:r>
                    <w:rPr>
                      <w:rFonts w:eastAsiaTheme="minorEastAsia"/>
                      <w:color w:val="auto"/>
                      <w:szCs w:val="21"/>
                      <w:u w:val="single"/>
                    </w:rPr>
                    <w:t>110kV</w:t>
                  </w:r>
                  <w:r>
                    <w:rPr>
                      <w:rFonts w:hint="eastAsia" w:eastAsiaTheme="minorEastAsia"/>
                      <w:color w:val="auto"/>
                      <w:szCs w:val="21"/>
                      <w:u w:val="single"/>
                    </w:rPr>
                    <w:t>主变压器</w:t>
                  </w:r>
                </w:p>
              </w:tc>
              <w:tc>
                <w:tcPr>
                  <w:tcW w:w="641" w:type="pct"/>
                  <w:vAlign w:val="center"/>
                </w:tcPr>
                <w:p>
                  <w:pPr>
                    <w:snapToGrid w:val="0"/>
                    <w:jc w:val="center"/>
                    <w:rPr>
                      <w:rFonts w:eastAsiaTheme="minorEastAsia"/>
                      <w:color w:val="auto"/>
                      <w:szCs w:val="21"/>
                      <w:u w:val="single"/>
                    </w:rPr>
                  </w:pPr>
                  <w:r>
                    <w:rPr>
                      <w:rFonts w:eastAsiaTheme="minorEastAsia"/>
                      <w:color w:val="auto"/>
                      <w:szCs w:val="21"/>
                      <w:u w:val="single"/>
                    </w:rPr>
                    <w:t>&lt;65</w:t>
                  </w:r>
                </w:p>
              </w:tc>
              <w:tc>
                <w:tcPr>
                  <w:tcW w:w="2516" w:type="pct"/>
                  <w:vAlign w:val="center"/>
                </w:tcPr>
                <w:p>
                  <w:pPr>
                    <w:snapToGrid w:val="0"/>
                    <w:jc w:val="center"/>
                    <w:rPr>
                      <w:rFonts w:eastAsiaTheme="minorEastAsia"/>
                      <w:color w:val="auto"/>
                      <w:szCs w:val="21"/>
                      <w:u w:val="single"/>
                    </w:rPr>
                  </w:pPr>
                  <w:r>
                    <w:rPr>
                      <w:rFonts w:hint="eastAsia" w:eastAsiaTheme="minorEastAsia"/>
                      <w:color w:val="auto"/>
                      <w:szCs w:val="21"/>
                      <w:u w:val="single"/>
                    </w:rPr>
                    <w:t>2台，基座减震，建筑隔声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snapToGrid w:val="0"/>
                    <w:jc w:val="center"/>
                    <w:rPr>
                      <w:rFonts w:eastAsiaTheme="minorEastAsia"/>
                      <w:color w:val="auto"/>
                      <w:szCs w:val="21"/>
                      <w:u w:val="single"/>
                    </w:rPr>
                  </w:pPr>
                  <w:r>
                    <w:rPr>
                      <w:rFonts w:eastAsiaTheme="minorEastAsia"/>
                      <w:color w:val="auto"/>
                      <w:szCs w:val="21"/>
                      <w:u w:val="single"/>
                    </w:rPr>
                    <w:t>2</w:t>
                  </w:r>
                </w:p>
              </w:tc>
              <w:tc>
                <w:tcPr>
                  <w:tcW w:w="1445" w:type="pct"/>
                  <w:vAlign w:val="center"/>
                </w:tcPr>
                <w:p>
                  <w:pPr>
                    <w:snapToGrid w:val="0"/>
                    <w:jc w:val="center"/>
                    <w:rPr>
                      <w:rFonts w:eastAsiaTheme="minorEastAsia"/>
                      <w:color w:val="auto"/>
                      <w:szCs w:val="21"/>
                      <w:u w:val="single"/>
                    </w:rPr>
                  </w:pPr>
                  <w:r>
                    <w:rPr>
                      <w:rFonts w:hint="eastAsia" w:eastAsiaTheme="minorEastAsia"/>
                      <w:color w:val="auto"/>
                      <w:szCs w:val="21"/>
                      <w:u w:val="single"/>
                    </w:rPr>
                    <w:t>储能电池舱工业级空调</w:t>
                  </w:r>
                </w:p>
              </w:tc>
              <w:tc>
                <w:tcPr>
                  <w:tcW w:w="641" w:type="pct"/>
                  <w:vAlign w:val="center"/>
                </w:tcPr>
                <w:p>
                  <w:pPr>
                    <w:snapToGrid w:val="0"/>
                    <w:jc w:val="center"/>
                    <w:rPr>
                      <w:rFonts w:eastAsiaTheme="minorEastAsia"/>
                      <w:color w:val="auto"/>
                      <w:szCs w:val="21"/>
                      <w:u w:val="single"/>
                    </w:rPr>
                  </w:pPr>
                  <w:r>
                    <w:rPr>
                      <w:rFonts w:eastAsiaTheme="minorEastAsia"/>
                      <w:color w:val="auto"/>
                      <w:szCs w:val="21"/>
                      <w:u w:val="single"/>
                    </w:rPr>
                    <w:t>&lt;7</w:t>
                  </w:r>
                  <w:r>
                    <w:rPr>
                      <w:rFonts w:hint="eastAsia" w:eastAsiaTheme="minorEastAsia"/>
                      <w:color w:val="auto"/>
                      <w:szCs w:val="21"/>
                      <w:u w:val="single"/>
                    </w:rPr>
                    <w:t>0</w:t>
                  </w:r>
                </w:p>
              </w:tc>
              <w:tc>
                <w:tcPr>
                  <w:tcW w:w="2516" w:type="pct"/>
                  <w:vAlign w:val="center"/>
                </w:tcPr>
                <w:p>
                  <w:pPr>
                    <w:snapToGrid w:val="0"/>
                    <w:jc w:val="center"/>
                    <w:rPr>
                      <w:rFonts w:eastAsiaTheme="minorEastAsia"/>
                      <w:color w:val="auto"/>
                      <w:szCs w:val="21"/>
                      <w:u w:val="single"/>
                    </w:rPr>
                  </w:pPr>
                  <w:r>
                    <w:rPr>
                      <w:rFonts w:hint="eastAsia"/>
                      <w:bCs/>
                      <w:iCs/>
                      <w:color w:val="auto"/>
                      <w:szCs w:val="21"/>
                      <w:u w:val="single"/>
                    </w:rPr>
                    <w:t>每舱设置</w:t>
                  </w:r>
                  <w:r>
                    <w:rPr>
                      <w:bCs/>
                      <w:iCs/>
                      <w:color w:val="auto"/>
                      <w:szCs w:val="21"/>
                      <w:u w:val="single"/>
                    </w:rPr>
                    <w:t>4</w:t>
                  </w:r>
                  <w:r>
                    <w:rPr>
                      <w:rFonts w:hint="eastAsia"/>
                      <w:bCs/>
                      <w:iCs/>
                      <w:color w:val="auto"/>
                      <w:szCs w:val="21"/>
                      <w:u w:val="single"/>
                    </w:rPr>
                    <w:t>台，消声器，绿化及围墙阻隔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pPr>
                    <w:snapToGrid w:val="0"/>
                    <w:jc w:val="center"/>
                    <w:rPr>
                      <w:rFonts w:eastAsiaTheme="minorEastAsia"/>
                      <w:color w:val="auto"/>
                      <w:szCs w:val="21"/>
                      <w:u w:val="single"/>
                    </w:rPr>
                  </w:pPr>
                  <w:r>
                    <w:rPr>
                      <w:rFonts w:hint="eastAsia" w:eastAsiaTheme="minorEastAsia"/>
                      <w:color w:val="auto"/>
                      <w:szCs w:val="21"/>
                      <w:u w:val="single"/>
                    </w:rPr>
                    <w:t>3</w:t>
                  </w:r>
                </w:p>
              </w:tc>
              <w:tc>
                <w:tcPr>
                  <w:tcW w:w="1445" w:type="pct"/>
                  <w:vAlign w:val="center"/>
                </w:tcPr>
                <w:p>
                  <w:pPr>
                    <w:snapToGrid w:val="0"/>
                    <w:jc w:val="center"/>
                    <w:rPr>
                      <w:rFonts w:eastAsiaTheme="minorEastAsia"/>
                      <w:color w:val="auto"/>
                      <w:szCs w:val="21"/>
                      <w:u w:val="single"/>
                    </w:rPr>
                  </w:pPr>
                  <w:r>
                    <w:rPr>
                      <w:rFonts w:hint="eastAsia" w:eastAsiaTheme="minorEastAsia"/>
                      <w:color w:val="auto"/>
                      <w:szCs w:val="21"/>
                      <w:u w:val="single"/>
                    </w:rPr>
                    <w:t>PCS轴流风机</w:t>
                  </w:r>
                </w:p>
              </w:tc>
              <w:tc>
                <w:tcPr>
                  <w:tcW w:w="641" w:type="pct"/>
                  <w:vAlign w:val="center"/>
                </w:tcPr>
                <w:p>
                  <w:pPr>
                    <w:snapToGrid w:val="0"/>
                    <w:jc w:val="center"/>
                    <w:rPr>
                      <w:rFonts w:eastAsiaTheme="minorEastAsia"/>
                      <w:color w:val="auto"/>
                      <w:szCs w:val="21"/>
                      <w:u w:val="single"/>
                    </w:rPr>
                  </w:pPr>
                  <w:r>
                    <w:rPr>
                      <w:rFonts w:eastAsiaTheme="minorEastAsia"/>
                      <w:color w:val="auto"/>
                      <w:szCs w:val="21"/>
                      <w:u w:val="single"/>
                    </w:rPr>
                    <w:t>&lt;7</w:t>
                  </w:r>
                  <w:r>
                    <w:rPr>
                      <w:rFonts w:hint="eastAsia" w:eastAsiaTheme="minorEastAsia"/>
                      <w:color w:val="auto"/>
                      <w:szCs w:val="21"/>
                      <w:u w:val="single"/>
                    </w:rPr>
                    <w:t>0</w:t>
                  </w:r>
                </w:p>
              </w:tc>
              <w:tc>
                <w:tcPr>
                  <w:tcW w:w="2516" w:type="pct"/>
                  <w:vAlign w:val="center"/>
                </w:tcPr>
                <w:p>
                  <w:pPr>
                    <w:snapToGrid w:val="0"/>
                    <w:jc w:val="center"/>
                    <w:rPr>
                      <w:bCs/>
                      <w:iCs/>
                      <w:color w:val="auto"/>
                      <w:szCs w:val="21"/>
                      <w:u w:val="single"/>
                    </w:rPr>
                  </w:pPr>
                  <w:r>
                    <w:rPr>
                      <w:rFonts w:hint="eastAsia"/>
                      <w:bCs/>
                      <w:iCs/>
                      <w:color w:val="auto"/>
                      <w:szCs w:val="21"/>
                      <w:u w:val="single"/>
                    </w:rPr>
                    <w:t>PCS每舱设置2台，消声器，绿化及围墙阻隔</w:t>
                  </w:r>
                </w:p>
              </w:tc>
            </w:tr>
          </w:tbl>
          <w:p>
            <w:pPr>
              <w:snapToGrid w:val="0"/>
              <w:rPr>
                <w:rFonts w:eastAsiaTheme="minorEastAsia"/>
                <w:color w:val="auto"/>
                <w:sz w:val="24"/>
                <w:szCs w:val="24"/>
                <w:u w:val="single"/>
              </w:rPr>
            </w:pPr>
          </w:p>
          <w:bookmarkEnd w:id="33"/>
          <w:bookmarkEnd w:id="34"/>
          <w:p>
            <w:pPr>
              <w:snapToGrid w:val="0"/>
              <w:jc w:val="center"/>
              <w:rPr>
                <w:rFonts w:eastAsia="仿宋_GB2312"/>
                <w:b/>
                <w:color w:val="auto"/>
                <w:sz w:val="28"/>
                <w:szCs w:val="21"/>
                <w:u w:val="single"/>
              </w:rPr>
            </w:pPr>
            <w:bookmarkStart w:id="36" w:name="_Toc344398248"/>
            <w:bookmarkStart w:id="37" w:name="_Toc344399984"/>
            <w:r>
              <w:rPr>
                <w:rFonts w:hint="eastAsia"/>
                <w:b/>
                <w:color w:val="auto"/>
                <w:szCs w:val="21"/>
                <w:u w:val="single"/>
              </w:rPr>
              <w:t>表</w:t>
            </w:r>
            <w:r>
              <w:rPr>
                <w:b/>
                <w:color w:val="auto"/>
                <w:szCs w:val="21"/>
                <w:u w:val="single"/>
              </w:rPr>
              <w:t xml:space="preserve">7-2  </w:t>
            </w:r>
            <w:r>
              <w:rPr>
                <w:rFonts w:hint="eastAsia"/>
                <w:b/>
                <w:color w:val="auto"/>
                <w:szCs w:val="21"/>
                <w:u w:val="single"/>
              </w:rPr>
              <w:t>儒林</w:t>
            </w:r>
            <w:r>
              <w:rPr>
                <w:b/>
                <w:color w:val="auto"/>
                <w:szCs w:val="21"/>
                <w:u w:val="single"/>
              </w:rPr>
              <w:t>100MW/200MWh</w:t>
            </w:r>
            <w:r>
              <w:rPr>
                <w:rFonts w:hint="eastAsia"/>
                <w:b/>
                <w:color w:val="auto"/>
                <w:szCs w:val="21"/>
                <w:u w:val="single"/>
              </w:rPr>
              <w:t>储能电站项目噪声影响预测结果</w:t>
            </w:r>
          </w:p>
          <w:tbl>
            <w:tblPr>
              <w:tblStyle w:val="86"/>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73"/>
              <w:gridCol w:w="2982"/>
              <w:gridCol w:w="38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6" w:hRule="atLeast"/>
              </w:trPr>
              <w:tc>
                <w:tcPr>
                  <w:tcW w:w="2806" w:type="pct"/>
                  <w:gridSpan w:val="2"/>
                  <w:tcMar>
                    <w:left w:w="28" w:type="dxa"/>
                    <w:right w:w="28" w:type="dxa"/>
                  </w:tcMar>
                  <w:vAlign w:val="center"/>
                </w:tcPr>
                <w:p>
                  <w:pPr>
                    <w:jc w:val="center"/>
                    <w:rPr>
                      <w:rFonts w:eastAsiaTheme="minorEastAsia"/>
                      <w:color w:val="auto"/>
                      <w:szCs w:val="21"/>
                      <w:u w:val="single"/>
                    </w:rPr>
                  </w:pPr>
                  <w:r>
                    <w:rPr>
                      <w:rFonts w:hint="eastAsia" w:eastAsiaTheme="minorEastAsia"/>
                      <w:color w:val="auto"/>
                      <w:szCs w:val="21"/>
                      <w:u w:val="single"/>
                    </w:rPr>
                    <w:t>位置</w:t>
                  </w:r>
                </w:p>
              </w:tc>
              <w:tc>
                <w:tcPr>
                  <w:tcW w:w="2194" w:type="pct"/>
                  <w:tcMar>
                    <w:left w:w="28" w:type="dxa"/>
                    <w:right w:w="28" w:type="dxa"/>
                  </w:tcMar>
                  <w:vAlign w:val="center"/>
                </w:tcPr>
                <w:p>
                  <w:pPr>
                    <w:jc w:val="center"/>
                    <w:rPr>
                      <w:rFonts w:eastAsiaTheme="minorEastAsia"/>
                      <w:color w:val="auto"/>
                      <w:szCs w:val="21"/>
                      <w:u w:val="single"/>
                    </w:rPr>
                  </w:pPr>
                  <w:r>
                    <w:rPr>
                      <w:rFonts w:hint="eastAsia" w:eastAsiaTheme="minorEastAsia"/>
                      <w:color w:val="auto"/>
                      <w:szCs w:val="21"/>
                      <w:u w:val="single"/>
                    </w:rPr>
                    <w:t>最大贡献值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1117" w:type="pct"/>
                  <w:vMerge w:val="restart"/>
                  <w:tcMar>
                    <w:left w:w="28" w:type="dxa"/>
                    <w:right w:w="28" w:type="dxa"/>
                  </w:tcMar>
                  <w:vAlign w:val="center"/>
                </w:tcPr>
                <w:p>
                  <w:pPr>
                    <w:jc w:val="center"/>
                    <w:rPr>
                      <w:rFonts w:eastAsiaTheme="minorEastAsia"/>
                      <w:color w:val="auto"/>
                      <w:szCs w:val="21"/>
                      <w:u w:val="single"/>
                    </w:rPr>
                  </w:pPr>
                  <w:r>
                    <w:rPr>
                      <w:rFonts w:hint="eastAsia" w:eastAsiaTheme="minorEastAsia"/>
                      <w:color w:val="auto"/>
                      <w:szCs w:val="21"/>
                      <w:u w:val="single"/>
                    </w:rPr>
                    <w:t>变电站场界</w:t>
                  </w:r>
                </w:p>
              </w:tc>
              <w:tc>
                <w:tcPr>
                  <w:tcW w:w="1689" w:type="pct"/>
                  <w:tcMar>
                    <w:left w:w="28" w:type="dxa"/>
                    <w:right w:w="28" w:type="dxa"/>
                  </w:tcMar>
                  <w:vAlign w:val="center"/>
                </w:tcPr>
                <w:p>
                  <w:pPr>
                    <w:jc w:val="center"/>
                    <w:rPr>
                      <w:rFonts w:eastAsiaTheme="minorEastAsia"/>
                      <w:color w:val="auto"/>
                      <w:szCs w:val="21"/>
                      <w:u w:val="single"/>
                    </w:rPr>
                  </w:pPr>
                  <w:r>
                    <w:rPr>
                      <w:rFonts w:hint="eastAsia" w:eastAsiaTheme="minorEastAsia"/>
                      <w:color w:val="auto"/>
                      <w:szCs w:val="21"/>
                      <w:u w:val="single"/>
                    </w:rPr>
                    <w:t>东侧围墙外</w:t>
                  </w:r>
                </w:p>
              </w:tc>
              <w:tc>
                <w:tcPr>
                  <w:tcW w:w="2194" w:type="pct"/>
                  <w:tcMar>
                    <w:left w:w="28" w:type="dxa"/>
                    <w:right w:w="28" w:type="dxa"/>
                  </w:tcMar>
                  <w:vAlign w:val="center"/>
                </w:tcPr>
                <w:p>
                  <w:pPr>
                    <w:jc w:val="center"/>
                    <w:rPr>
                      <w:rFonts w:eastAsiaTheme="minorEastAsia"/>
                      <w:color w:val="auto"/>
                      <w:szCs w:val="21"/>
                      <w:u w:val="single"/>
                    </w:rPr>
                  </w:pPr>
                  <w:r>
                    <w:rPr>
                      <w:rFonts w:hint="eastAsia" w:eastAsiaTheme="minorEastAsia"/>
                      <w:color w:val="auto"/>
                      <w:szCs w:val="21"/>
                      <w:u w:val="single"/>
                    </w:rPr>
                    <w:t>43.23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117" w:type="pct"/>
                  <w:vMerge w:val="continue"/>
                  <w:tcMar>
                    <w:left w:w="28" w:type="dxa"/>
                    <w:right w:w="28" w:type="dxa"/>
                  </w:tcMar>
                  <w:vAlign w:val="center"/>
                </w:tcPr>
                <w:p>
                  <w:pPr>
                    <w:jc w:val="center"/>
                    <w:rPr>
                      <w:rFonts w:eastAsiaTheme="minorEastAsia"/>
                      <w:color w:val="auto"/>
                      <w:szCs w:val="21"/>
                      <w:u w:val="single"/>
                    </w:rPr>
                  </w:pPr>
                </w:p>
              </w:tc>
              <w:tc>
                <w:tcPr>
                  <w:tcW w:w="1689" w:type="pct"/>
                  <w:tcMar>
                    <w:left w:w="28" w:type="dxa"/>
                    <w:right w:w="28" w:type="dxa"/>
                  </w:tcMar>
                  <w:vAlign w:val="center"/>
                </w:tcPr>
                <w:p>
                  <w:pPr>
                    <w:jc w:val="center"/>
                    <w:rPr>
                      <w:rFonts w:eastAsiaTheme="minorEastAsia"/>
                      <w:color w:val="auto"/>
                      <w:szCs w:val="21"/>
                      <w:u w:val="single"/>
                    </w:rPr>
                  </w:pPr>
                  <w:r>
                    <w:rPr>
                      <w:rFonts w:hint="eastAsia" w:eastAsiaTheme="minorEastAsia"/>
                      <w:color w:val="auto"/>
                      <w:szCs w:val="21"/>
                      <w:u w:val="single"/>
                    </w:rPr>
                    <w:t>南侧围墙外</w:t>
                  </w:r>
                </w:p>
              </w:tc>
              <w:tc>
                <w:tcPr>
                  <w:tcW w:w="2194" w:type="pct"/>
                  <w:tcMar>
                    <w:left w:w="28" w:type="dxa"/>
                    <w:right w:w="28" w:type="dxa"/>
                  </w:tcMar>
                  <w:vAlign w:val="center"/>
                </w:tcPr>
                <w:p>
                  <w:pPr>
                    <w:jc w:val="center"/>
                    <w:rPr>
                      <w:rFonts w:eastAsiaTheme="minorEastAsia"/>
                      <w:color w:val="auto"/>
                      <w:szCs w:val="21"/>
                      <w:u w:val="single"/>
                    </w:rPr>
                  </w:pPr>
                  <w:r>
                    <w:rPr>
                      <w:rFonts w:hint="eastAsia" w:eastAsiaTheme="minorEastAsia"/>
                      <w:color w:val="auto"/>
                      <w:szCs w:val="21"/>
                      <w:u w:val="single"/>
                    </w:rPr>
                    <w:t>33.53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7" w:hRule="atLeast"/>
              </w:trPr>
              <w:tc>
                <w:tcPr>
                  <w:tcW w:w="1117" w:type="pct"/>
                  <w:vMerge w:val="continue"/>
                  <w:tcMar>
                    <w:left w:w="28" w:type="dxa"/>
                    <w:right w:w="28" w:type="dxa"/>
                  </w:tcMar>
                  <w:vAlign w:val="center"/>
                </w:tcPr>
                <w:p>
                  <w:pPr>
                    <w:jc w:val="center"/>
                    <w:rPr>
                      <w:rFonts w:eastAsiaTheme="minorEastAsia"/>
                      <w:color w:val="auto"/>
                      <w:szCs w:val="21"/>
                      <w:u w:val="single"/>
                    </w:rPr>
                  </w:pPr>
                </w:p>
              </w:tc>
              <w:tc>
                <w:tcPr>
                  <w:tcW w:w="1689" w:type="pct"/>
                  <w:tcMar>
                    <w:left w:w="28" w:type="dxa"/>
                    <w:right w:w="28" w:type="dxa"/>
                  </w:tcMar>
                  <w:vAlign w:val="center"/>
                </w:tcPr>
                <w:p>
                  <w:pPr>
                    <w:jc w:val="center"/>
                    <w:rPr>
                      <w:rFonts w:eastAsiaTheme="minorEastAsia"/>
                      <w:color w:val="auto"/>
                      <w:szCs w:val="21"/>
                      <w:u w:val="single"/>
                    </w:rPr>
                  </w:pPr>
                  <w:r>
                    <w:rPr>
                      <w:rFonts w:hint="eastAsia" w:eastAsiaTheme="minorEastAsia"/>
                      <w:color w:val="auto"/>
                      <w:szCs w:val="21"/>
                      <w:u w:val="single"/>
                    </w:rPr>
                    <w:t>西侧围墙外</w:t>
                  </w:r>
                </w:p>
              </w:tc>
              <w:tc>
                <w:tcPr>
                  <w:tcW w:w="2194" w:type="pct"/>
                  <w:tcMar>
                    <w:left w:w="28" w:type="dxa"/>
                    <w:right w:w="28" w:type="dxa"/>
                  </w:tcMar>
                  <w:vAlign w:val="center"/>
                </w:tcPr>
                <w:p>
                  <w:pPr>
                    <w:jc w:val="center"/>
                    <w:rPr>
                      <w:rFonts w:eastAsiaTheme="minorEastAsia"/>
                      <w:color w:val="auto"/>
                      <w:szCs w:val="21"/>
                      <w:u w:val="single"/>
                    </w:rPr>
                  </w:pPr>
                  <w:r>
                    <w:rPr>
                      <w:rFonts w:hint="eastAsia" w:eastAsiaTheme="minorEastAsia"/>
                      <w:color w:val="auto"/>
                      <w:szCs w:val="21"/>
                      <w:u w:val="single"/>
                    </w:rPr>
                    <w:t>37.97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1" w:hRule="atLeast"/>
              </w:trPr>
              <w:tc>
                <w:tcPr>
                  <w:tcW w:w="1117" w:type="pct"/>
                  <w:vMerge w:val="continue"/>
                  <w:tcMar>
                    <w:left w:w="28" w:type="dxa"/>
                    <w:right w:w="28" w:type="dxa"/>
                  </w:tcMar>
                  <w:vAlign w:val="center"/>
                </w:tcPr>
                <w:p>
                  <w:pPr>
                    <w:jc w:val="center"/>
                    <w:rPr>
                      <w:rFonts w:eastAsiaTheme="minorEastAsia"/>
                      <w:color w:val="auto"/>
                      <w:szCs w:val="21"/>
                      <w:u w:val="single"/>
                    </w:rPr>
                  </w:pPr>
                </w:p>
              </w:tc>
              <w:tc>
                <w:tcPr>
                  <w:tcW w:w="1689" w:type="pct"/>
                  <w:tcMar>
                    <w:left w:w="28" w:type="dxa"/>
                    <w:right w:w="28" w:type="dxa"/>
                  </w:tcMar>
                  <w:vAlign w:val="center"/>
                </w:tcPr>
                <w:p>
                  <w:pPr>
                    <w:jc w:val="center"/>
                    <w:rPr>
                      <w:rFonts w:eastAsiaTheme="minorEastAsia"/>
                      <w:color w:val="auto"/>
                      <w:szCs w:val="21"/>
                      <w:u w:val="single"/>
                    </w:rPr>
                  </w:pPr>
                  <w:r>
                    <w:rPr>
                      <w:rFonts w:hint="eastAsia" w:eastAsiaTheme="minorEastAsia"/>
                      <w:color w:val="auto"/>
                      <w:szCs w:val="21"/>
                      <w:u w:val="single"/>
                    </w:rPr>
                    <w:t>北侧围墙外</w:t>
                  </w:r>
                </w:p>
              </w:tc>
              <w:tc>
                <w:tcPr>
                  <w:tcW w:w="2194" w:type="pct"/>
                  <w:tcMar>
                    <w:left w:w="28" w:type="dxa"/>
                    <w:right w:w="28" w:type="dxa"/>
                  </w:tcMar>
                  <w:vAlign w:val="center"/>
                </w:tcPr>
                <w:p>
                  <w:pPr>
                    <w:jc w:val="center"/>
                    <w:rPr>
                      <w:rFonts w:eastAsiaTheme="minorEastAsia"/>
                      <w:color w:val="auto"/>
                      <w:szCs w:val="21"/>
                      <w:u w:val="single"/>
                    </w:rPr>
                  </w:pPr>
                  <w:r>
                    <w:rPr>
                      <w:rFonts w:hint="eastAsia" w:eastAsiaTheme="minorEastAsia"/>
                      <w:color w:val="auto"/>
                      <w:szCs w:val="21"/>
                      <w:u w:val="single"/>
                    </w:rPr>
                    <w:t>38.76</w:t>
                  </w:r>
                </w:p>
              </w:tc>
            </w:tr>
          </w:tbl>
          <w:p>
            <w:pPr>
              <w:spacing w:line="360" w:lineRule="auto"/>
              <w:ind w:firstLine="480" w:firstLineChars="200"/>
              <w:rPr>
                <w:iCs/>
                <w:color w:val="auto"/>
                <w:sz w:val="24"/>
                <w:szCs w:val="24"/>
                <w:u w:val="single"/>
              </w:rPr>
            </w:pPr>
            <w:r>
              <w:rPr>
                <w:rFonts w:hint="eastAsia"/>
                <w:iCs/>
                <w:color w:val="auto"/>
                <w:sz w:val="24"/>
                <w:szCs w:val="24"/>
                <w:u w:val="single"/>
              </w:rPr>
              <w:t>噪声预测等声值线图如下：</w:t>
            </w:r>
          </w:p>
          <w:p>
            <w:pPr>
              <w:spacing w:line="360" w:lineRule="auto"/>
              <w:jc w:val="center"/>
              <w:rPr>
                <w:iCs/>
                <w:color w:val="auto"/>
                <w:sz w:val="24"/>
                <w:szCs w:val="24"/>
                <w:u w:val="single"/>
              </w:rPr>
            </w:pPr>
            <w:r>
              <w:rPr>
                <w:iCs/>
                <w:color w:val="auto"/>
                <w:sz w:val="24"/>
                <w:szCs w:val="24"/>
                <w:u w:val="single"/>
              </w:rPr>
              <w:drawing>
                <wp:inline distT="0" distB="0" distL="0" distR="0">
                  <wp:extent cx="5486400" cy="2943225"/>
                  <wp:effectExtent l="19050" t="0" r="0" b="0"/>
                  <wp:docPr id="196" name="图片 196" descr="D:\230环评\放\输变电项目\2020\城步儒林储能站\环评\噪声预测结果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D:\230环评\放\输变电项目\2020\城步儒林储能站\环评\噪声预测结果新.jpg"/>
                          <pic:cNvPicPr>
                            <a:picLocks noChangeAspect="1" noChangeArrowheads="1"/>
                          </pic:cNvPicPr>
                        </pic:nvPicPr>
                        <pic:blipFill>
                          <a:blip r:embed="rId77" cstate="print"/>
                          <a:srcRect/>
                          <a:stretch>
                            <a:fillRect/>
                          </a:stretch>
                        </pic:blipFill>
                        <pic:spPr>
                          <a:xfrm>
                            <a:off x="0" y="0"/>
                            <a:ext cx="5486400" cy="2943225"/>
                          </a:xfrm>
                          <a:prstGeom prst="rect">
                            <a:avLst/>
                          </a:prstGeom>
                          <a:noFill/>
                          <a:ln w="9525">
                            <a:noFill/>
                            <a:miter lim="800000"/>
                            <a:headEnd/>
                            <a:tailEnd/>
                          </a:ln>
                        </pic:spPr>
                      </pic:pic>
                    </a:graphicData>
                  </a:graphic>
                </wp:inline>
              </w:drawing>
            </w:r>
          </w:p>
          <w:p>
            <w:pPr>
              <w:spacing w:line="360" w:lineRule="auto"/>
              <w:ind w:firstLine="482" w:firstLineChars="200"/>
              <w:jc w:val="center"/>
              <w:rPr>
                <w:b/>
                <w:iCs/>
                <w:color w:val="auto"/>
                <w:sz w:val="24"/>
                <w:szCs w:val="24"/>
                <w:u w:val="single"/>
              </w:rPr>
            </w:pPr>
            <w:r>
              <w:rPr>
                <w:rFonts w:hint="eastAsia"/>
                <w:b/>
                <w:iCs/>
                <w:color w:val="auto"/>
                <w:sz w:val="24"/>
                <w:szCs w:val="24"/>
                <w:u w:val="single"/>
              </w:rPr>
              <w:t>图</w:t>
            </w:r>
            <w:r>
              <w:rPr>
                <w:b/>
                <w:iCs/>
                <w:color w:val="auto"/>
                <w:sz w:val="24"/>
                <w:szCs w:val="24"/>
                <w:u w:val="single"/>
              </w:rPr>
              <w:t xml:space="preserve">6-1   </w:t>
            </w:r>
            <w:r>
              <w:rPr>
                <w:rFonts w:hint="eastAsia"/>
                <w:b/>
                <w:iCs/>
                <w:color w:val="auto"/>
                <w:sz w:val="24"/>
                <w:szCs w:val="24"/>
                <w:u w:val="single"/>
              </w:rPr>
              <w:t>噪声影响预测等声值线图</w:t>
            </w:r>
          </w:p>
          <w:p>
            <w:pPr>
              <w:spacing w:line="360" w:lineRule="auto"/>
              <w:ind w:firstLine="480" w:firstLineChars="200"/>
              <w:rPr>
                <w:color w:val="auto"/>
                <w:sz w:val="24"/>
                <w:szCs w:val="24"/>
                <w:u w:val="single"/>
              </w:rPr>
            </w:pPr>
            <w:r>
              <w:rPr>
                <w:rFonts w:hint="eastAsia"/>
                <w:iCs/>
                <w:color w:val="auto"/>
                <w:sz w:val="24"/>
                <w:szCs w:val="24"/>
                <w:u w:val="single"/>
              </w:rPr>
              <w:t>根据表</w:t>
            </w:r>
            <w:r>
              <w:rPr>
                <w:iCs/>
                <w:color w:val="auto"/>
                <w:sz w:val="24"/>
                <w:szCs w:val="24"/>
                <w:u w:val="single"/>
              </w:rPr>
              <w:t>7-1</w:t>
            </w:r>
            <w:r>
              <w:rPr>
                <w:rFonts w:hint="eastAsia"/>
                <w:iCs/>
                <w:color w:val="auto"/>
                <w:sz w:val="24"/>
                <w:szCs w:val="24"/>
                <w:u w:val="single"/>
              </w:rPr>
              <w:t>可知，储能电站场界噪声最大贡献值可满足</w:t>
            </w:r>
            <w:r>
              <w:rPr>
                <w:rFonts w:hint="eastAsia"/>
                <w:color w:val="auto"/>
                <w:sz w:val="24"/>
                <w:szCs w:val="24"/>
                <w:u w:val="single"/>
              </w:rPr>
              <w:t>《工业企业厂界环境噪声排放标准》（</w:t>
            </w:r>
            <w:r>
              <w:rPr>
                <w:color w:val="auto"/>
                <w:sz w:val="24"/>
                <w:szCs w:val="24"/>
                <w:u w:val="single"/>
              </w:rPr>
              <w:t>GB12348-2008</w:t>
            </w:r>
            <w:r>
              <w:rPr>
                <w:rFonts w:hint="eastAsia"/>
                <w:color w:val="auto"/>
                <w:sz w:val="24"/>
                <w:szCs w:val="24"/>
                <w:u w:val="single"/>
              </w:rPr>
              <w:t>）</w:t>
            </w:r>
            <w:r>
              <w:rPr>
                <w:color w:val="auto"/>
                <w:sz w:val="24"/>
                <w:szCs w:val="24"/>
                <w:u w:val="single"/>
              </w:rPr>
              <w:t>2</w:t>
            </w:r>
            <w:r>
              <w:rPr>
                <w:rFonts w:hint="eastAsia"/>
                <w:color w:val="auto"/>
                <w:sz w:val="24"/>
                <w:szCs w:val="24"/>
                <w:u w:val="single"/>
              </w:rPr>
              <w:t>类噪声排放限值要求，</w:t>
            </w:r>
            <w:r>
              <w:rPr>
                <w:color w:val="auto"/>
                <w:sz w:val="24"/>
                <w:szCs w:val="24"/>
                <w:u w:val="single"/>
              </w:rPr>
              <w:t>[</w:t>
            </w:r>
            <w:r>
              <w:rPr>
                <w:rFonts w:hint="eastAsia"/>
                <w:color w:val="auto"/>
                <w:sz w:val="24"/>
                <w:szCs w:val="24"/>
                <w:u w:val="single"/>
              </w:rPr>
              <w:t>昼间</w:t>
            </w:r>
            <w:r>
              <w:rPr>
                <w:color w:val="auto"/>
                <w:sz w:val="24"/>
                <w:szCs w:val="24"/>
                <w:u w:val="single"/>
              </w:rPr>
              <w:t>60dB</w:t>
            </w:r>
            <w:r>
              <w:rPr>
                <w:rFonts w:hint="eastAsia"/>
                <w:color w:val="auto"/>
                <w:sz w:val="24"/>
                <w:szCs w:val="24"/>
                <w:u w:val="single"/>
              </w:rPr>
              <w:t>（</w:t>
            </w:r>
            <w:r>
              <w:rPr>
                <w:color w:val="auto"/>
                <w:sz w:val="24"/>
                <w:szCs w:val="24"/>
                <w:u w:val="single"/>
              </w:rPr>
              <w:t>A</w:t>
            </w:r>
            <w:r>
              <w:rPr>
                <w:rFonts w:hint="eastAsia"/>
                <w:color w:val="auto"/>
                <w:sz w:val="24"/>
                <w:szCs w:val="24"/>
                <w:u w:val="single"/>
              </w:rPr>
              <w:t>）、夜间</w:t>
            </w:r>
            <w:r>
              <w:rPr>
                <w:color w:val="auto"/>
                <w:sz w:val="24"/>
                <w:szCs w:val="24"/>
                <w:u w:val="single"/>
              </w:rPr>
              <w:t>50dB</w:t>
            </w:r>
            <w:r>
              <w:rPr>
                <w:rFonts w:hint="eastAsia"/>
                <w:color w:val="auto"/>
                <w:sz w:val="24"/>
                <w:szCs w:val="24"/>
                <w:u w:val="single"/>
              </w:rPr>
              <w:t>（</w:t>
            </w:r>
            <w:r>
              <w:rPr>
                <w:color w:val="auto"/>
                <w:sz w:val="24"/>
                <w:szCs w:val="24"/>
                <w:u w:val="single"/>
              </w:rPr>
              <w:t>A</w:t>
            </w:r>
            <w:r>
              <w:rPr>
                <w:rFonts w:hint="eastAsia"/>
                <w:color w:val="auto"/>
                <w:sz w:val="24"/>
                <w:szCs w:val="24"/>
                <w:u w:val="single"/>
              </w:rPr>
              <w:t>）</w:t>
            </w:r>
            <w:r>
              <w:rPr>
                <w:color w:val="auto"/>
                <w:sz w:val="24"/>
                <w:szCs w:val="24"/>
                <w:u w:val="single"/>
              </w:rPr>
              <w:t>]</w:t>
            </w:r>
            <w:r>
              <w:rPr>
                <w:rFonts w:hint="eastAsia"/>
                <w:color w:val="auto"/>
                <w:sz w:val="24"/>
                <w:szCs w:val="24"/>
                <w:u w:val="single"/>
              </w:rPr>
              <w:t>。</w:t>
            </w:r>
            <w:r>
              <w:rPr>
                <w:rFonts w:hint="eastAsia"/>
                <w:iCs/>
                <w:color w:val="auto"/>
                <w:sz w:val="24"/>
                <w:szCs w:val="24"/>
                <w:u w:val="single"/>
              </w:rPr>
              <w:t>工程评价范围内无敏感点，但为进一步减轻对西面100m以外杨家将村零星居民点的影响，评价建议加高</w:t>
            </w:r>
            <w:r>
              <w:rPr>
                <w:rFonts w:hint="eastAsia"/>
                <w:iCs/>
                <w:color w:val="auto"/>
                <w:sz w:val="24"/>
                <w:szCs w:val="24"/>
                <w:u w:val="single"/>
                <w:lang w:eastAsia="zh-CN"/>
              </w:rPr>
              <w:t>四周实体围墙，并在西侧</w:t>
            </w:r>
            <w:r>
              <w:rPr>
                <w:rFonts w:hint="eastAsia"/>
                <w:iCs/>
                <w:color w:val="auto"/>
                <w:sz w:val="24"/>
                <w:szCs w:val="24"/>
                <w:u w:val="single"/>
              </w:rPr>
              <w:t>增设隔声屏障，以确保运营期对周边声环境</w:t>
            </w:r>
            <w:r>
              <w:rPr>
                <w:rFonts w:hint="eastAsia"/>
                <w:iCs/>
                <w:color w:val="auto"/>
                <w:sz w:val="24"/>
                <w:szCs w:val="24"/>
                <w:u w:val="single"/>
                <w:lang w:eastAsia="zh-CN"/>
              </w:rPr>
              <w:t>较小</w:t>
            </w:r>
            <w:r>
              <w:rPr>
                <w:rFonts w:hint="eastAsia"/>
                <w:iCs/>
                <w:color w:val="auto"/>
                <w:sz w:val="24"/>
                <w:szCs w:val="24"/>
                <w:u w:val="single"/>
              </w:rPr>
              <w:t>。</w:t>
            </w:r>
          </w:p>
          <w:bookmarkEnd w:id="36"/>
          <w:bookmarkEnd w:id="37"/>
          <w:p>
            <w:pPr>
              <w:adjustRightInd w:val="0"/>
              <w:snapToGrid w:val="0"/>
              <w:spacing w:line="360" w:lineRule="auto"/>
              <w:jc w:val="left"/>
              <w:rPr>
                <w:rFonts w:eastAsia="楷体_GB2312"/>
                <w:b/>
                <w:bCs/>
                <w:color w:val="auto"/>
                <w:sz w:val="24"/>
              </w:rPr>
            </w:pPr>
            <w:r>
              <w:rPr>
                <w:rFonts w:eastAsia="楷体_GB2312"/>
                <w:b/>
                <w:bCs/>
                <w:color w:val="auto"/>
                <w:sz w:val="24"/>
              </w:rPr>
              <w:t>7.2.3</w:t>
            </w:r>
            <w:r>
              <w:rPr>
                <w:rFonts w:hint="eastAsia" w:eastAsia="楷体_GB2312"/>
                <w:b/>
                <w:bCs/>
                <w:color w:val="auto"/>
                <w:sz w:val="24"/>
              </w:rPr>
              <w:t>水环境影响分析</w:t>
            </w:r>
          </w:p>
          <w:p>
            <w:pPr>
              <w:adjustRightInd w:val="0"/>
              <w:snapToGrid w:val="0"/>
              <w:spacing w:line="360" w:lineRule="auto"/>
              <w:ind w:firstLine="480" w:firstLineChars="200"/>
              <w:outlineLvl w:val="1"/>
              <w:rPr>
                <w:color w:val="auto"/>
                <w:sz w:val="24"/>
              </w:rPr>
            </w:pPr>
            <w:r>
              <w:rPr>
                <w:rFonts w:hint="eastAsia"/>
                <w:color w:val="auto"/>
                <w:sz w:val="24"/>
              </w:rPr>
              <w:t>正常运行工况下，本工程储能变电站内无工业废水产生，变电站内产生少量生活污水经化粪池处理后定期清掏不外排，对周边水环境无明显影响。</w:t>
            </w:r>
          </w:p>
          <w:p>
            <w:pPr>
              <w:adjustRightInd w:val="0"/>
              <w:snapToGrid w:val="0"/>
              <w:spacing w:line="360" w:lineRule="auto"/>
              <w:jc w:val="left"/>
              <w:rPr>
                <w:rFonts w:eastAsia="楷体_GB2312"/>
                <w:b/>
                <w:bCs/>
                <w:color w:val="auto"/>
                <w:sz w:val="24"/>
              </w:rPr>
            </w:pPr>
            <w:r>
              <w:rPr>
                <w:rFonts w:eastAsia="楷体_GB2312"/>
                <w:b/>
                <w:bCs/>
                <w:color w:val="auto"/>
                <w:sz w:val="24"/>
              </w:rPr>
              <w:t>7.2.4</w:t>
            </w:r>
            <w:r>
              <w:rPr>
                <w:rFonts w:hint="eastAsia" w:eastAsia="楷体_GB2312"/>
                <w:b/>
                <w:bCs/>
                <w:color w:val="auto"/>
                <w:sz w:val="24"/>
              </w:rPr>
              <w:t>生态环境影响分析</w:t>
            </w:r>
          </w:p>
          <w:p>
            <w:pPr>
              <w:adjustRightInd w:val="0"/>
              <w:snapToGrid w:val="0"/>
              <w:spacing w:line="360" w:lineRule="auto"/>
              <w:ind w:firstLine="480" w:firstLineChars="200"/>
              <w:jc w:val="left"/>
              <w:rPr>
                <w:color w:val="auto"/>
                <w:sz w:val="24"/>
              </w:rPr>
            </w:pPr>
            <w:r>
              <w:rPr>
                <w:rFonts w:hint="eastAsia"/>
                <w:color w:val="auto"/>
                <w:sz w:val="24"/>
              </w:rPr>
              <w:t>本工程评价范围内不涉及自然保护区、风景名胜区、世界文化和自然遗产地等环境敏感区。</w:t>
            </w:r>
            <w:r>
              <w:rPr>
                <w:rFonts w:hint="eastAsia"/>
                <w:color w:val="auto"/>
                <w:sz w:val="24"/>
                <w:szCs w:val="24"/>
              </w:rPr>
              <w:t>待施工期结束，场地内及周边道路将硬化并完成植被恢复，因此工程建设对生态环境较小。</w:t>
            </w:r>
          </w:p>
          <w:p>
            <w:pPr>
              <w:adjustRightInd w:val="0"/>
              <w:snapToGrid w:val="0"/>
              <w:spacing w:line="360" w:lineRule="auto"/>
              <w:jc w:val="left"/>
              <w:rPr>
                <w:rFonts w:eastAsia="楷体_GB2312"/>
                <w:b/>
                <w:bCs/>
                <w:color w:val="auto"/>
                <w:sz w:val="24"/>
              </w:rPr>
            </w:pPr>
            <w:r>
              <w:rPr>
                <w:rFonts w:eastAsia="楷体_GB2312"/>
                <w:b/>
                <w:bCs/>
                <w:color w:val="auto"/>
                <w:sz w:val="24"/>
              </w:rPr>
              <w:t>7.2.5</w:t>
            </w:r>
            <w:r>
              <w:rPr>
                <w:rFonts w:hint="eastAsia" w:eastAsia="楷体_GB2312"/>
                <w:b/>
                <w:bCs/>
                <w:color w:val="auto"/>
                <w:sz w:val="24"/>
              </w:rPr>
              <w:t>固体废物环境影响分析</w:t>
            </w:r>
          </w:p>
          <w:p>
            <w:pPr>
              <w:adjustRightInd w:val="0"/>
              <w:snapToGrid w:val="0"/>
              <w:spacing w:line="360" w:lineRule="auto"/>
              <w:ind w:firstLine="480" w:firstLineChars="200"/>
              <w:jc w:val="left"/>
              <w:outlineLvl w:val="1"/>
              <w:rPr>
                <w:color w:val="auto"/>
                <w:sz w:val="24"/>
              </w:rPr>
            </w:pPr>
            <w:r>
              <w:rPr>
                <w:rFonts w:hint="eastAsia"/>
                <w:color w:val="auto"/>
                <w:sz w:val="24"/>
              </w:rPr>
              <w:t>变电站运行期间固体废物为变电站值守人员产生的生活垃圾及废旧蓄电池。</w:t>
            </w:r>
          </w:p>
          <w:p>
            <w:pPr>
              <w:adjustRightInd w:val="0"/>
              <w:snapToGrid w:val="0"/>
              <w:spacing w:line="360" w:lineRule="auto"/>
              <w:jc w:val="left"/>
              <w:outlineLvl w:val="1"/>
              <w:rPr>
                <w:rFonts w:eastAsia="楷体_GB2312"/>
                <w:b/>
                <w:bCs/>
                <w:color w:val="auto"/>
                <w:sz w:val="22"/>
              </w:rPr>
            </w:pPr>
            <w:r>
              <w:rPr>
                <w:rFonts w:eastAsia="楷体_GB2312"/>
                <w:b/>
                <w:bCs/>
                <w:color w:val="auto"/>
                <w:sz w:val="22"/>
              </w:rPr>
              <w:t xml:space="preserve">7.2.5.1 </w:t>
            </w:r>
            <w:r>
              <w:rPr>
                <w:rFonts w:hint="eastAsia" w:eastAsia="楷体_GB2312"/>
                <w:b/>
                <w:bCs/>
                <w:color w:val="auto"/>
                <w:sz w:val="22"/>
              </w:rPr>
              <w:t>生活垃圾</w:t>
            </w:r>
          </w:p>
          <w:p>
            <w:pPr>
              <w:adjustRightInd w:val="0"/>
              <w:snapToGrid w:val="0"/>
              <w:spacing w:line="360" w:lineRule="auto"/>
              <w:ind w:firstLine="480" w:firstLineChars="200"/>
              <w:jc w:val="left"/>
              <w:outlineLvl w:val="1"/>
              <w:rPr>
                <w:color w:val="auto"/>
                <w:sz w:val="24"/>
              </w:rPr>
            </w:pPr>
            <w:r>
              <w:rPr>
                <w:rFonts w:hint="eastAsia"/>
                <w:color w:val="auto"/>
                <w:sz w:val="24"/>
              </w:rPr>
              <w:t>新建变电站均配置有生活垃圾桶、垃圾箱，值守人员产生的少量生活垃圾由当地环卫部门进行定期清运，纳入当地垃圾处理系统处理。</w:t>
            </w:r>
          </w:p>
          <w:p>
            <w:pPr>
              <w:adjustRightInd w:val="0"/>
              <w:snapToGrid w:val="0"/>
              <w:spacing w:line="360" w:lineRule="auto"/>
              <w:jc w:val="left"/>
              <w:outlineLvl w:val="1"/>
              <w:rPr>
                <w:rFonts w:eastAsia="楷体_GB2312"/>
                <w:b/>
                <w:bCs/>
                <w:color w:val="auto"/>
                <w:sz w:val="22"/>
              </w:rPr>
            </w:pPr>
            <w:r>
              <w:rPr>
                <w:rFonts w:eastAsia="楷体_GB2312"/>
                <w:b/>
                <w:bCs/>
                <w:color w:val="auto"/>
                <w:sz w:val="22"/>
              </w:rPr>
              <w:t xml:space="preserve">7.2.5.2 </w:t>
            </w:r>
            <w:r>
              <w:rPr>
                <w:rFonts w:hint="eastAsia" w:eastAsia="楷体_GB2312"/>
                <w:b/>
                <w:bCs/>
                <w:color w:val="auto"/>
                <w:sz w:val="22"/>
              </w:rPr>
              <w:t>废旧蓄电池</w:t>
            </w:r>
          </w:p>
          <w:p>
            <w:pPr>
              <w:adjustRightInd w:val="0"/>
              <w:snapToGrid w:val="0"/>
              <w:spacing w:line="360" w:lineRule="auto"/>
              <w:ind w:firstLine="480" w:firstLineChars="200"/>
              <w:outlineLvl w:val="1"/>
              <w:rPr>
                <w:color w:val="auto"/>
                <w:sz w:val="24"/>
                <w:u w:val="single"/>
              </w:rPr>
            </w:pPr>
            <w:r>
              <w:rPr>
                <w:rFonts w:hint="eastAsia"/>
                <w:color w:val="auto"/>
                <w:sz w:val="24"/>
              </w:rPr>
              <w:t>储能站110kV变电站采用铅酸蓄电池作为控制负荷和动力负荷等供电的直流电源，主要作用是给继电保护、开关合分及控制提供可靠的直流操作电源和控制电源。在整流系统交流失电或发生故障时，蓄电池继续给控制、信号、继电保护和自动装置供电，同时保证事故照明用电。变电站内设置有一组（</w:t>
            </w:r>
            <w:r>
              <w:rPr>
                <w:color w:val="auto"/>
                <w:sz w:val="24"/>
              </w:rPr>
              <w:t>104</w:t>
            </w:r>
            <w:r>
              <w:rPr>
                <w:rFonts w:hint="eastAsia"/>
                <w:color w:val="auto"/>
                <w:sz w:val="24"/>
              </w:rPr>
              <w:t>块）蓄电池组，每节重约</w:t>
            </w:r>
            <w:r>
              <w:rPr>
                <w:color w:val="auto"/>
                <w:sz w:val="24"/>
              </w:rPr>
              <w:t>8kg</w:t>
            </w:r>
            <w:r>
              <w:rPr>
                <w:rFonts w:hint="eastAsia"/>
                <w:color w:val="auto"/>
                <w:sz w:val="24"/>
              </w:rPr>
              <w:t>，使用年限约</w:t>
            </w:r>
            <w:r>
              <w:rPr>
                <w:color w:val="auto"/>
                <w:sz w:val="24"/>
              </w:rPr>
              <w:t>8-10</w:t>
            </w:r>
            <w:r>
              <w:rPr>
                <w:rFonts w:hint="eastAsia"/>
                <w:color w:val="auto"/>
                <w:sz w:val="24"/>
              </w:rPr>
              <w:t>年。根据《国家危险废物名录》（环境保护部令第</w:t>
            </w:r>
            <w:r>
              <w:rPr>
                <w:color w:val="auto"/>
                <w:sz w:val="24"/>
              </w:rPr>
              <w:t>39</w:t>
            </w:r>
            <w:r>
              <w:rPr>
                <w:rFonts w:hint="eastAsia"/>
                <w:color w:val="auto"/>
                <w:sz w:val="24"/>
              </w:rPr>
              <w:t>号），</w:t>
            </w:r>
            <w:r>
              <w:rPr>
                <w:rFonts w:hint="eastAsia"/>
                <w:color w:val="auto"/>
                <w:sz w:val="24"/>
                <w:u w:val="single"/>
              </w:rPr>
              <w:t>废弃铅酸蓄电池属危险废物，类别代码为</w:t>
            </w:r>
            <w:r>
              <w:rPr>
                <w:color w:val="auto"/>
                <w:sz w:val="24"/>
                <w:u w:val="single"/>
              </w:rPr>
              <w:t>HW49</w:t>
            </w:r>
            <w:r>
              <w:rPr>
                <w:rFonts w:hint="eastAsia"/>
                <w:color w:val="auto"/>
                <w:sz w:val="24"/>
                <w:u w:val="single"/>
              </w:rPr>
              <w:t>，废物代码为</w:t>
            </w:r>
            <w:r>
              <w:rPr>
                <w:color w:val="auto"/>
                <w:sz w:val="24"/>
                <w:u w:val="single"/>
              </w:rPr>
              <w:t>900-044-49</w:t>
            </w:r>
            <w:r>
              <w:rPr>
                <w:rFonts w:hint="eastAsia"/>
                <w:color w:val="auto"/>
                <w:sz w:val="24"/>
                <w:u w:val="single"/>
              </w:rPr>
              <w:t>。蓄电池待使用寿命结束后，统一更换，交由有资质单位处理，严禁随意丢弃。根据建设方提供资料，当蓄电池需要更换时，将提前通知生产厂家，更换后立即交予有资质的单位回收后按照相关要求处理，不在站内暂存。</w:t>
            </w:r>
          </w:p>
          <w:p>
            <w:pPr>
              <w:adjustRightInd w:val="0"/>
              <w:snapToGrid w:val="0"/>
              <w:spacing w:line="360" w:lineRule="auto"/>
              <w:ind w:firstLine="480" w:firstLineChars="200"/>
              <w:outlineLvl w:val="1"/>
              <w:rPr>
                <w:color w:val="auto"/>
                <w:sz w:val="24"/>
                <w:u w:val="single"/>
              </w:rPr>
            </w:pPr>
            <w:r>
              <w:rPr>
                <w:rFonts w:hint="eastAsia"/>
                <w:color w:val="auto"/>
                <w:sz w:val="24"/>
                <w:u w:val="single"/>
              </w:rPr>
              <w:t>根据工可报告，并参考国内同类工程，磷酸铁锂储能电池储能系统使用寿命约为15年，其使用寿命结束后，产生的废旧锂电池交由厂家回收利用。</w:t>
            </w:r>
          </w:p>
          <w:p>
            <w:pPr>
              <w:adjustRightInd w:val="0"/>
              <w:snapToGrid w:val="0"/>
              <w:spacing w:line="360" w:lineRule="auto"/>
              <w:outlineLvl w:val="1"/>
              <w:rPr>
                <w:rFonts w:eastAsia="楷体_GB2312"/>
                <w:b/>
                <w:bCs/>
                <w:color w:val="auto"/>
                <w:sz w:val="24"/>
              </w:rPr>
            </w:pPr>
            <w:r>
              <w:rPr>
                <w:rFonts w:eastAsia="楷体_GB2312"/>
                <w:b/>
                <w:bCs/>
                <w:color w:val="auto"/>
                <w:sz w:val="24"/>
              </w:rPr>
              <w:t>7.2.6</w:t>
            </w:r>
            <w:r>
              <w:rPr>
                <w:rFonts w:hint="eastAsia" w:eastAsia="楷体_GB2312"/>
                <w:b/>
                <w:bCs/>
                <w:color w:val="auto"/>
                <w:sz w:val="24"/>
              </w:rPr>
              <w:t>环境风险分析</w:t>
            </w:r>
          </w:p>
          <w:p>
            <w:pPr>
              <w:spacing w:line="360" w:lineRule="auto"/>
              <w:ind w:firstLine="480" w:firstLineChars="200"/>
              <w:rPr>
                <w:color w:val="auto"/>
                <w:sz w:val="24"/>
                <w:szCs w:val="24"/>
              </w:rPr>
            </w:pPr>
            <w:r>
              <w:rPr>
                <w:rFonts w:hint="eastAsia"/>
                <w:color w:val="auto"/>
                <w:sz w:val="24"/>
                <w:szCs w:val="24"/>
              </w:rPr>
              <w:t>（</w:t>
            </w:r>
            <w:r>
              <w:rPr>
                <w:color w:val="auto"/>
                <w:sz w:val="24"/>
                <w:szCs w:val="24"/>
              </w:rPr>
              <w:t>1</w:t>
            </w:r>
            <w:r>
              <w:rPr>
                <w:rFonts w:hint="eastAsia"/>
                <w:color w:val="auto"/>
                <w:sz w:val="24"/>
                <w:szCs w:val="24"/>
              </w:rPr>
              <w:t>）储能电站的环境风险</w:t>
            </w:r>
          </w:p>
          <w:p>
            <w:pPr>
              <w:adjustRightInd w:val="0"/>
              <w:snapToGrid w:val="0"/>
              <w:spacing w:line="360" w:lineRule="auto"/>
              <w:ind w:firstLine="480" w:firstLineChars="200"/>
              <w:rPr>
                <w:color w:val="auto"/>
                <w:sz w:val="24"/>
              </w:rPr>
            </w:pPr>
            <w:r>
              <w:rPr>
                <w:rFonts w:hint="eastAsia"/>
                <w:color w:val="auto"/>
                <w:sz w:val="24"/>
              </w:rPr>
              <w:t>储能电站可能发生的环境风险主要为主变压器发生事故时，变压器油泄露，如处置不当可能带来的环境风险、储能磷酸铁锂电池爆炸产生的电解液泄露，以及消防废水如处置不当可能带来的环境风险等。</w:t>
            </w:r>
          </w:p>
          <w:p>
            <w:pPr>
              <w:adjustRightInd w:val="0"/>
              <w:snapToGrid w:val="0"/>
              <w:spacing w:line="360" w:lineRule="auto"/>
              <w:ind w:firstLine="480" w:firstLineChars="200"/>
              <w:rPr>
                <w:color w:val="auto"/>
                <w:sz w:val="24"/>
              </w:rPr>
            </w:pPr>
            <w:r>
              <w:rPr>
                <w:rFonts w:hint="eastAsia"/>
                <w:color w:val="auto"/>
                <w:sz w:val="24"/>
              </w:rPr>
              <w:t>①变压器油泄露风险</w:t>
            </w:r>
          </w:p>
          <w:p>
            <w:pPr>
              <w:adjustRightInd w:val="0"/>
              <w:snapToGrid w:val="0"/>
              <w:spacing w:line="360" w:lineRule="auto"/>
              <w:ind w:firstLine="480" w:firstLineChars="200"/>
              <w:rPr>
                <w:color w:val="auto"/>
                <w:sz w:val="24"/>
              </w:rPr>
            </w:pPr>
            <w:r>
              <w:rPr>
                <w:rFonts w:hint="eastAsia"/>
                <w:color w:val="auto"/>
                <w:sz w:val="24"/>
              </w:rPr>
              <w:t>由于冷却或绝缘需要，变电站内变压器及其它电气设备均使用电力用油，这些冷却或绝缘油都装在电气设备的外壳内，一般无需更换（一般定期（一年一次或大修后）作预防性试验，通过对绝缘电阻、吸收比、极化指数、介质损耗、绕组泄漏电流、油中微水等综合分析，综合判断受潮情况、杂质情况、油老化情况等，如果不合格，过滤再生后继续使用），也不会外泄对环境造成危害。但在设备在发生事故并失控时，可能泄漏，污染环境，造成环境风险。根据《国家危险废物名录》（环境保护部令第</w:t>
            </w:r>
            <w:r>
              <w:rPr>
                <w:color w:val="auto"/>
                <w:sz w:val="24"/>
              </w:rPr>
              <w:t>39</w:t>
            </w:r>
            <w:r>
              <w:rPr>
                <w:rFonts w:hint="eastAsia"/>
                <w:color w:val="auto"/>
                <w:sz w:val="24"/>
              </w:rPr>
              <w:t>号），事故变压器油或废弃的变压器油为废矿物油属危险废物，类别代码为</w:t>
            </w:r>
            <w:r>
              <w:rPr>
                <w:color w:val="auto"/>
                <w:sz w:val="24"/>
              </w:rPr>
              <w:t>HW08</w:t>
            </w:r>
            <w:r>
              <w:rPr>
                <w:rFonts w:hint="eastAsia"/>
                <w:color w:val="auto"/>
                <w:sz w:val="24"/>
              </w:rPr>
              <w:t>，废物代码为</w:t>
            </w:r>
            <w:r>
              <w:rPr>
                <w:color w:val="auto"/>
                <w:sz w:val="24"/>
              </w:rPr>
              <w:t>900-249-08</w:t>
            </w:r>
            <w:r>
              <w:rPr>
                <w:rFonts w:hint="eastAsia"/>
                <w:color w:val="auto"/>
                <w:sz w:val="24"/>
              </w:rPr>
              <w:t>。</w:t>
            </w:r>
          </w:p>
          <w:p>
            <w:pPr>
              <w:adjustRightInd w:val="0"/>
              <w:snapToGrid w:val="0"/>
              <w:spacing w:line="360" w:lineRule="auto"/>
              <w:ind w:firstLine="480" w:firstLineChars="200"/>
              <w:rPr>
                <w:color w:val="auto"/>
                <w:sz w:val="24"/>
              </w:rPr>
            </w:pPr>
            <w:r>
              <w:rPr>
                <w:rFonts w:hint="eastAsia"/>
                <w:color w:val="auto"/>
                <w:sz w:val="24"/>
              </w:rPr>
              <w:t>为防止事故、检修时造成废油污染，站内均设置有变压器油排蓄系统，变压器基座四周设有事故油坑，事故油坑通过底部的事故排油管道与具有油水分离功能的总事故油池相连。在发生事故时，泄露的变压器油将通过排油管道排入总事故油池，事故油池具有防渗漏措施，事故油池内的废油及含油废水则交由有危废处理资质的单位进行处置。</w:t>
            </w:r>
          </w:p>
          <w:p>
            <w:pPr>
              <w:adjustRightInd w:val="0"/>
              <w:snapToGrid w:val="0"/>
              <w:spacing w:line="360" w:lineRule="auto"/>
              <w:ind w:firstLine="480" w:firstLineChars="200"/>
              <w:rPr>
                <w:color w:val="auto"/>
                <w:sz w:val="24"/>
              </w:rPr>
            </w:pPr>
            <w:r>
              <w:rPr>
                <w:rFonts w:hint="eastAsia"/>
                <w:color w:val="auto"/>
                <w:sz w:val="24"/>
              </w:rPr>
              <w:t>根据《火力发电厂与变电站设计防火规范》（</w:t>
            </w:r>
            <w:r>
              <w:rPr>
                <w:color w:val="auto"/>
                <w:sz w:val="24"/>
              </w:rPr>
              <w:t>GB50229-2019</w:t>
            </w:r>
            <w:r>
              <w:rPr>
                <w:rFonts w:hint="eastAsia"/>
                <w:color w:val="auto"/>
                <w:sz w:val="24"/>
              </w:rPr>
              <w:t>）中</w:t>
            </w:r>
            <w:r>
              <w:rPr>
                <w:color w:val="auto"/>
                <w:sz w:val="24"/>
              </w:rPr>
              <w:t>“</w:t>
            </w:r>
            <w:r>
              <w:rPr>
                <w:rFonts w:hint="eastAsia"/>
                <w:color w:val="auto"/>
                <w:sz w:val="24"/>
              </w:rPr>
              <w:t>总事故贮油池的容量应按其接入的油量最大的一台设备确定</w:t>
            </w:r>
            <w:r>
              <w:rPr>
                <w:color w:val="auto"/>
                <w:sz w:val="24"/>
              </w:rPr>
              <w:t>”</w:t>
            </w:r>
            <w:r>
              <w:rPr>
                <w:rFonts w:hint="eastAsia"/>
                <w:color w:val="auto"/>
                <w:sz w:val="24"/>
              </w:rPr>
              <w:t>规定，变电站应按最大单台主变油量的</w:t>
            </w:r>
            <w:r>
              <w:rPr>
                <w:color w:val="auto"/>
                <w:sz w:val="24"/>
              </w:rPr>
              <w:t>100%</w:t>
            </w:r>
            <w:r>
              <w:rPr>
                <w:rFonts w:hint="eastAsia"/>
                <w:color w:val="auto"/>
                <w:sz w:val="24"/>
              </w:rPr>
              <w:t>容积设置一座总事故油池（最大单台主变油量</w:t>
            </w:r>
            <w:r>
              <w:rPr>
                <w:color w:val="auto"/>
                <w:sz w:val="24"/>
              </w:rPr>
              <w:t>20t</w:t>
            </w:r>
            <w:r>
              <w:rPr>
                <w:rFonts w:hint="eastAsia"/>
                <w:color w:val="auto"/>
                <w:sz w:val="24"/>
              </w:rPr>
              <w:t>）。本工程变电站事故油池容积</w:t>
            </w:r>
            <w:r>
              <w:rPr>
                <w:color w:val="auto"/>
                <w:sz w:val="24"/>
              </w:rPr>
              <w:t>25m³</w:t>
            </w:r>
            <w:r>
              <w:rPr>
                <w:rFonts w:hint="eastAsia"/>
                <w:color w:val="auto"/>
                <w:sz w:val="24"/>
              </w:rPr>
              <w:t>，能够满足最大单台设备油量的</w:t>
            </w:r>
            <w:r>
              <w:rPr>
                <w:color w:val="auto"/>
                <w:sz w:val="24"/>
              </w:rPr>
              <w:t>100%</w:t>
            </w:r>
            <w:r>
              <w:rPr>
                <w:rFonts w:hint="eastAsia"/>
                <w:color w:val="auto"/>
                <w:sz w:val="24"/>
              </w:rPr>
              <w:t>的设计要求。</w:t>
            </w:r>
          </w:p>
          <w:p>
            <w:pPr>
              <w:adjustRightInd w:val="0"/>
              <w:snapToGrid w:val="0"/>
              <w:spacing w:line="360" w:lineRule="auto"/>
              <w:ind w:firstLine="480" w:firstLineChars="200"/>
              <w:rPr>
                <w:color w:val="auto"/>
                <w:sz w:val="24"/>
              </w:rPr>
            </w:pPr>
            <w:r>
              <w:rPr>
                <w:rFonts w:hint="eastAsia"/>
                <w:color w:val="auto"/>
                <w:sz w:val="24"/>
              </w:rPr>
              <w:t>变电站内变压器的运行和管理有着严格的规章制度和操作流程，发生事故并失控</w:t>
            </w:r>
          </w:p>
          <w:p>
            <w:pPr>
              <w:adjustRightInd w:val="0"/>
              <w:snapToGrid w:val="0"/>
              <w:spacing w:line="360" w:lineRule="auto"/>
              <w:jc w:val="left"/>
              <w:rPr>
                <w:color w:val="auto"/>
                <w:sz w:val="24"/>
              </w:rPr>
            </w:pPr>
            <w:r>
              <w:rPr>
                <w:rFonts w:hint="eastAsia"/>
                <w:color w:val="auto"/>
                <w:sz w:val="24"/>
              </w:rPr>
              <w:t>的概率非常小，近多年来尚未了解到有变电站变压器发生事故并失控的相关报道。</w:t>
            </w:r>
          </w:p>
          <w:p>
            <w:pPr>
              <w:adjustRightInd w:val="0"/>
              <w:snapToGrid w:val="0"/>
              <w:spacing w:line="360" w:lineRule="auto"/>
              <w:ind w:firstLine="480" w:firstLineChars="200"/>
              <w:jc w:val="left"/>
              <w:rPr>
                <w:color w:val="auto"/>
                <w:sz w:val="24"/>
                <w:u w:val="single"/>
              </w:rPr>
            </w:pPr>
            <w:r>
              <w:rPr>
                <w:rFonts w:hint="eastAsia"/>
                <w:color w:val="auto"/>
                <w:sz w:val="24"/>
                <w:u w:val="single"/>
              </w:rPr>
              <w:t>②储能电池爆炸风险</w:t>
            </w:r>
          </w:p>
          <w:p>
            <w:pPr>
              <w:adjustRightInd w:val="0"/>
              <w:snapToGrid w:val="0"/>
              <w:spacing w:line="360" w:lineRule="auto"/>
              <w:ind w:firstLine="480" w:firstLineChars="200"/>
              <w:rPr>
                <w:color w:val="auto"/>
                <w:sz w:val="24"/>
                <w:u w:val="single"/>
              </w:rPr>
            </w:pPr>
            <w:r>
              <w:rPr>
                <w:rFonts w:hint="eastAsia"/>
                <w:color w:val="auto"/>
                <w:sz w:val="24"/>
                <w:u w:val="single"/>
              </w:rPr>
              <w:t>磷酸铁锂电池在一般情况下是不会出现爆炸起火的的。正常使用时磷酸铁锂电池的安全性较高，在一些极端情况下还是会发生危险的，这跟各公司的材料选择、配比、工艺过程以及后期的使用是有很大关系的。爆炸的诱因主要来自以下几个方面：</w:t>
            </w:r>
          </w:p>
          <w:p>
            <w:pPr>
              <w:adjustRightInd w:val="0"/>
              <w:snapToGrid w:val="0"/>
              <w:spacing w:line="360" w:lineRule="auto"/>
              <w:ind w:firstLine="480" w:firstLineChars="200"/>
              <w:rPr>
                <w:color w:val="auto"/>
                <w:sz w:val="24"/>
                <w:u w:val="single"/>
              </w:rPr>
            </w:pPr>
            <w:r>
              <w:rPr>
                <w:color w:val="auto"/>
                <w:sz w:val="24"/>
                <w:u w:val="single"/>
              </w:rPr>
              <w:t xml:space="preserve">a. </w:t>
            </w:r>
            <w:r>
              <w:rPr>
                <w:rFonts w:hint="eastAsia"/>
                <w:color w:val="auto"/>
                <w:sz w:val="24"/>
                <w:u w:val="single"/>
              </w:rPr>
              <w:t>水份含量过高</w:t>
            </w:r>
          </w:p>
          <w:p>
            <w:pPr>
              <w:adjustRightInd w:val="0"/>
              <w:snapToGrid w:val="0"/>
              <w:spacing w:line="360" w:lineRule="auto"/>
              <w:ind w:firstLine="480" w:firstLineChars="200"/>
              <w:rPr>
                <w:color w:val="auto"/>
                <w:sz w:val="24"/>
                <w:u w:val="single"/>
              </w:rPr>
            </w:pPr>
            <w:r>
              <w:rPr>
                <w:rFonts w:hint="eastAsia"/>
                <w:color w:val="auto"/>
                <w:sz w:val="24"/>
                <w:u w:val="single"/>
              </w:rPr>
              <w:t>水份可以和电芯中的电解液反应，生产气体，充电时，可以和生成的锂反应，生成氧化锂，使电芯的容量损失，易使电芯过充而生成气体，水份的分解电压较低，充电时很容易分解生成气体，当这一系列生成的气体会使电芯的内部压力增大，当电芯的外壳无法承受时，电芯就会爆炸。</w:t>
            </w:r>
          </w:p>
          <w:p>
            <w:pPr>
              <w:adjustRightInd w:val="0"/>
              <w:snapToGrid w:val="0"/>
              <w:spacing w:line="360" w:lineRule="auto"/>
              <w:ind w:firstLine="480" w:firstLineChars="200"/>
              <w:rPr>
                <w:color w:val="auto"/>
                <w:sz w:val="24"/>
                <w:u w:val="single"/>
              </w:rPr>
            </w:pPr>
            <w:r>
              <w:rPr>
                <w:color w:val="auto"/>
                <w:sz w:val="24"/>
                <w:u w:val="single"/>
              </w:rPr>
              <w:t xml:space="preserve">b. </w:t>
            </w:r>
            <w:r>
              <w:rPr>
                <w:rFonts w:hint="eastAsia"/>
                <w:color w:val="auto"/>
                <w:sz w:val="24"/>
                <w:u w:val="single"/>
              </w:rPr>
              <w:t>内部短路</w:t>
            </w:r>
          </w:p>
          <w:p>
            <w:pPr>
              <w:adjustRightInd w:val="0"/>
              <w:snapToGrid w:val="0"/>
              <w:spacing w:line="360" w:lineRule="auto"/>
              <w:ind w:firstLine="480" w:firstLineChars="200"/>
              <w:rPr>
                <w:color w:val="auto"/>
                <w:sz w:val="24"/>
                <w:u w:val="single"/>
              </w:rPr>
            </w:pPr>
            <w:r>
              <w:rPr>
                <w:rFonts w:hint="eastAsia"/>
                <w:color w:val="auto"/>
                <w:sz w:val="24"/>
                <w:u w:val="single"/>
              </w:rPr>
              <w:t>由于内部产生短路现象，电芯大电流放电，产生大量的热，烧坏隔膜，而造成更大的短路现象，这样电芯就会产生高温，使电解液分解成气体，造成内部压力过大，当电芯的外壳无法承受这个压力时，电芯就会爆炸。</w:t>
            </w:r>
          </w:p>
          <w:p>
            <w:pPr>
              <w:adjustRightInd w:val="0"/>
              <w:snapToGrid w:val="0"/>
              <w:spacing w:line="360" w:lineRule="auto"/>
              <w:ind w:firstLine="480" w:firstLineChars="200"/>
              <w:rPr>
                <w:color w:val="auto"/>
                <w:sz w:val="24"/>
                <w:u w:val="single"/>
              </w:rPr>
            </w:pPr>
            <w:r>
              <w:rPr>
                <w:color w:val="auto"/>
                <w:sz w:val="24"/>
                <w:u w:val="single"/>
              </w:rPr>
              <w:t>c.</w:t>
            </w:r>
            <w:r>
              <w:rPr>
                <w:rFonts w:hint="eastAsia"/>
                <w:color w:val="auto"/>
                <w:sz w:val="24"/>
                <w:u w:val="single"/>
              </w:rPr>
              <w:t>上部胶</w:t>
            </w:r>
          </w:p>
          <w:p>
            <w:pPr>
              <w:adjustRightInd w:val="0"/>
              <w:snapToGrid w:val="0"/>
              <w:spacing w:line="360" w:lineRule="auto"/>
              <w:ind w:firstLine="480" w:firstLineChars="200"/>
              <w:rPr>
                <w:color w:val="auto"/>
                <w:sz w:val="24"/>
                <w:u w:val="single"/>
              </w:rPr>
            </w:pPr>
            <w:r>
              <w:rPr>
                <w:rFonts w:hint="eastAsia"/>
                <w:color w:val="auto"/>
                <w:sz w:val="24"/>
                <w:u w:val="single"/>
              </w:rPr>
              <w:t>激光焊时，热量经壳体传导到正极耳上，使正极耳温度高，如果上部胶纸没有隔开正极耳及隔膜，热的正极耳就会使隔膜纸烧坏或收缩，造成内部短路，而形成爆炸。</w:t>
            </w:r>
          </w:p>
          <w:p>
            <w:pPr>
              <w:adjustRightInd w:val="0"/>
              <w:snapToGrid w:val="0"/>
              <w:spacing w:line="360" w:lineRule="auto"/>
              <w:ind w:firstLine="480" w:firstLineChars="200"/>
              <w:rPr>
                <w:color w:val="auto"/>
                <w:sz w:val="24"/>
                <w:u w:val="single"/>
              </w:rPr>
            </w:pPr>
            <w:r>
              <w:rPr>
                <w:color w:val="auto"/>
                <w:sz w:val="24"/>
                <w:u w:val="single"/>
              </w:rPr>
              <w:t>d.</w:t>
            </w:r>
            <w:r>
              <w:rPr>
                <w:rFonts w:hint="eastAsia"/>
                <w:color w:val="auto"/>
                <w:sz w:val="24"/>
                <w:u w:val="single"/>
              </w:rPr>
              <w:t>过充</w:t>
            </w:r>
          </w:p>
          <w:p>
            <w:pPr>
              <w:adjustRightInd w:val="0"/>
              <w:snapToGrid w:val="0"/>
              <w:spacing w:line="360" w:lineRule="auto"/>
              <w:ind w:firstLine="480" w:firstLineChars="200"/>
              <w:rPr>
                <w:color w:val="auto"/>
                <w:sz w:val="24"/>
                <w:u w:val="single"/>
              </w:rPr>
            </w:pPr>
            <w:r>
              <w:rPr>
                <w:rFonts w:hint="eastAsia"/>
                <w:color w:val="auto"/>
                <w:sz w:val="24"/>
                <w:u w:val="single"/>
              </w:rPr>
              <w:t>电芯过充电时，正极的锂过度放出会使正极的结构发生变化，而放出的锂过多也容易无法插入负极中，也容易造成负极表面析锂，而且，当电压达到</w:t>
            </w:r>
            <w:r>
              <w:rPr>
                <w:color w:val="auto"/>
                <w:sz w:val="24"/>
                <w:u w:val="single"/>
              </w:rPr>
              <w:t>4.5V</w:t>
            </w:r>
            <w:r>
              <w:rPr>
                <w:rFonts w:hint="eastAsia"/>
                <w:color w:val="auto"/>
                <w:sz w:val="24"/>
                <w:u w:val="single"/>
              </w:rPr>
              <w:t>以上时，电解液会分解生产大量的气体。上面种种均可能造成爆炸。</w:t>
            </w:r>
          </w:p>
          <w:p>
            <w:pPr>
              <w:adjustRightInd w:val="0"/>
              <w:snapToGrid w:val="0"/>
              <w:spacing w:line="360" w:lineRule="auto"/>
              <w:ind w:firstLine="480" w:firstLineChars="200"/>
              <w:rPr>
                <w:color w:val="auto"/>
                <w:sz w:val="24"/>
                <w:u w:val="single"/>
              </w:rPr>
            </w:pPr>
            <w:r>
              <w:rPr>
                <w:color w:val="auto"/>
                <w:sz w:val="24"/>
                <w:u w:val="single"/>
              </w:rPr>
              <w:t>e.</w:t>
            </w:r>
            <w:r>
              <w:rPr>
                <w:rFonts w:hint="eastAsia"/>
                <w:color w:val="auto"/>
                <w:sz w:val="24"/>
                <w:u w:val="single"/>
              </w:rPr>
              <w:t>外部短路</w:t>
            </w:r>
          </w:p>
          <w:p>
            <w:pPr>
              <w:adjustRightInd w:val="0"/>
              <w:snapToGrid w:val="0"/>
              <w:spacing w:line="360" w:lineRule="auto"/>
              <w:ind w:firstLine="480" w:firstLineChars="200"/>
              <w:rPr>
                <w:color w:val="auto"/>
                <w:sz w:val="24"/>
                <w:u w:val="single"/>
              </w:rPr>
            </w:pPr>
            <w:r>
              <w:rPr>
                <w:rFonts w:hint="eastAsia"/>
                <w:color w:val="auto"/>
                <w:sz w:val="24"/>
                <w:u w:val="single"/>
              </w:rPr>
              <w:t>外部短路可能由于操作不当，或误使用所造成，由于外部短路，电池放电电流很大，会使电芯的发热，高温会使电芯内部的隔膜收缩或完全坏坏，造成内部短路，因而爆炸。</w:t>
            </w:r>
          </w:p>
          <w:p>
            <w:pPr>
              <w:adjustRightInd w:val="0"/>
              <w:snapToGrid w:val="0"/>
              <w:spacing w:line="360" w:lineRule="auto"/>
              <w:ind w:firstLine="480" w:firstLineChars="200"/>
              <w:rPr>
                <w:color w:val="auto"/>
                <w:sz w:val="24"/>
                <w:u w:val="single"/>
              </w:rPr>
            </w:pPr>
            <w:r>
              <w:rPr>
                <w:rFonts w:hint="eastAsia"/>
                <w:color w:val="auto"/>
                <w:sz w:val="24"/>
                <w:u w:val="single"/>
              </w:rPr>
              <w:t>以上就是磷酸铁锂电池爆炸起火的几个主要原因，如果我们采取正确的使用方式，可有效的避免的锂电池爆炸的几率。近年来偶有国外储能电站爆炸事故的报道，国内行业协会也表示，要从全球储能项目中暴露出来的安全风险中不断总结经验，优化储能系统整体结构设计，着力构建产品安全标准体系的建设，避免安全事故发生从而引发的环境风险事故。</w:t>
            </w:r>
            <w:r>
              <w:rPr>
                <w:color w:val="auto"/>
                <w:sz w:val="24"/>
                <w:u w:val="single"/>
              </w:rPr>
              <w:t xml:space="preserve"> </w:t>
            </w:r>
          </w:p>
          <w:p>
            <w:pPr>
              <w:adjustRightInd w:val="0"/>
              <w:snapToGrid w:val="0"/>
              <w:spacing w:line="360" w:lineRule="auto"/>
              <w:ind w:firstLine="480" w:firstLineChars="200"/>
              <w:rPr>
                <w:color w:val="auto"/>
                <w:sz w:val="24"/>
                <w:u w:val="single"/>
              </w:rPr>
            </w:pPr>
            <w:r>
              <w:rPr>
                <w:rFonts w:hint="eastAsia"/>
                <w:color w:val="auto"/>
                <w:sz w:val="24"/>
                <w:u w:val="single"/>
              </w:rPr>
              <w:t>爆炸产生的环境风险主要为电解液的泄露和消防废水。磷酸铁锂电池的电解液成分主要有高氯酸锂、氟锂盐、六氟磷酸锂等，用高氯酸锂制成的电池低温效果不好，有爆炸的危险，日本和美国已禁止使用。用含氟锂盐制成的电池性能好，无爆炸危险，适用性强。用六氟磷酸锂制成的电池，除了电池性能好，无爆炸危险，适用性强，将来废弃电池的处理工作相对简单，对生态环境友好。电解液有挥发性气味，中对人体危害最大的是其中的锂盐，六氟磷酸锂，这种锂盐非常霸道之前听说如果人身体上皮肤表面有手掌大小的皮肤被腐蚀，就可以致命。电解液泄露应迅速撤离泄漏污染区人员至安全区，并进行隔离，严格限制出入。切断火源。建议应急处理人员戴自给正压式呼吸器，穿消防防护服。尽可能切断泄漏源。防止进入下水道、排洪沟等限制性空间。小量泄漏：用或其它惰性材料吸收。也可以用不燃性分散剂制成的乳液刷洗，洗液稀释后放入废水系统。大量泄漏：构筑围堤或挖坑收容。用泡沫覆盖，降低蒸气灾害。用防爆泵转移至槽车或专用收集器内，回收或运至废物处理场所处置。另外建议场内设置一处消防废水收集池，具体规模等参数建议参考突发环境事件应急预案。</w:t>
            </w:r>
          </w:p>
          <w:p>
            <w:pPr>
              <w:spacing w:line="360" w:lineRule="auto"/>
              <w:ind w:firstLine="480" w:firstLineChars="200"/>
              <w:rPr>
                <w:color w:val="auto"/>
                <w:sz w:val="24"/>
                <w:szCs w:val="24"/>
                <w:u w:val="single"/>
              </w:rPr>
            </w:pPr>
            <w:r>
              <w:rPr>
                <w:rFonts w:hint="eastAsia"/>
                <w:color w:val="auto"/>
                <w:sz w:val="24"/>
                <w:szCs w:val="24"/>
                <w:u w:val="single"/>
              </w:rPr>
              <w:t>（</w:t>
            </w:r>
            <w:r>
              <w:rPr>
                <w:color w:val="auto"/>
                <w:sz w:val="24"/>
                <w:szCs w:val="24"/>
                <w:u w:val="single"/>
              </w:rPr>
              <w:t>2</w:t>
            </w:r>
            <w:r>
              <w:rPr>
                <w:rFonts w:hint="eastAsia"/>
                <w:color w:val="auto"/>
                <w:sz w:val="24"/>
                <w:szCs w:val="24"/>
                <w:u w:val="single"/>
              </w:rPr>
              <w:t>）应急预案</w:t>
            </w:r>
          </w:p>
          <w:p>
            <w:pPr>
              <w:spacing w:line="360" w:lineRule="auto"/>
              <w:ind w:firstLine="480" w:firstLineChars="200"/>
              <w:rPr>
                <w:color w:val="auto"/>
                <w:sz w:val="24"/>
                <w:u w:val="single"/>
              </w:rPr>
            </w:pPr>
            <w:r>
              <w:rPr>
                <w:rFonts w:hint="eastAsia"/>
                <w:color w:val="auto"/>
                <w:sz w:val="24"/>
                <w:szCs w:val="24"/>
                <w:u w:val="single"/>
              </w:rPr>
              <w:t>为预防运行期储能电站及输电线路的事故风险，应根据具体情况依据《安全生产法》《国家安全生产事故灾难应急预案》的要求，集合相关规程</w:t>
            </w:r>
            <w:r>
              <w:rPr>
                <w:color w:val="auto"/>
                <w:sz w:val="24"/>
                <w:szCs w:val="24"/>
                <w:u w:val="single"/>
              </w:rPr>
              <w:t>/</w:t>
            </w:r>
            <w:r>
              <w:rPr>
                <w:rFonts w:hint="eastAsia"/>
                <w:color w:val="auto"/>
                <w:sz w:val="24"/>
                <w:szCs w:val="24"/>
                <w:u w:val="single"/>
              </w:rPr>
              <w:t>规范和行业标准，以及工程实际情况，编制突发环境事件应急预案。</w:t>
            </w:r>
          </w:p>
          <w:p>
            <w:pPr>
              <w:spacing w:line="360" w:lineRule="auto"/>
              <w:rPr>
                <w:b/>
                <w:color w:val="auto"/>
                <w:sz w:val="24"/>
              </w:rPr>
            </w:pPr>
            <w:r>
              <w:rPr>
                <w:b/>
                <w:color w:val="auto"/>
                <w:sz w:val="24"/>
              </w:rPr>
              <w:t>7.3</w:t>
            </w:r>
            <w:r>
              <w:rPr>
                <w:rFonts w:hint="eastAsia"/>
                <w:b/>
                <w:color w:val="auto"/>
                <w:sz w:val="24"/>
              </w:rPr>
              <w:t>环保投资预算</w:t>
            </w:r>
          </w:p>
          <w:p>
            <w:pPr>
              <w:spacing w:line="360" w:lineRule="auto"/>
              <w:ind w:firstLine="570"/>
              <w:rPr>
                <w:bCs/>
                <w:color w:val="auto"/>
                <w:sz w:val="24"/>
                <w:szCs w:val="24"/>
              </w:rPr>
            </w:pPr>
            <w:r>
              <w:rPr>
                <w:rFonts w:hint="eastAsia"/>
                <w:bCs/>
                <w:color w:val="auto"/>
                <w:sz w:val="24"/>
              </w:rPr>
              <w:t>根据建设方提供资料，本工程</w:t>
            </w:r>
            <w:r>
              <w:rPr>
                <w:rFonts w:hint="eastAsia"/>
                <w:bCs/>
                <w:color w:val="auto"/>
                <w:sz w:val="24"/>
                <w:szCs w:val="24"/>
              </w:rPr>
              <w:t>总投资</w:t>
            </w:r>
            <w:r>
              <w:rPr>
                <w:bCs/>
                <w:color w:val="auto"/>
                <w:sz w:val="24"/>
                <w:szCs w:val="24"/>
              </w:rPr>
              <w:t>42471</w:t>
            </w:r>
            <w:r>
              <w:rPr>
                <w:rFonts w:hint="eastAsia"/>
                <w:bCs/>
                <w:color w:val="auto"/>
                <w:sz w:val="24"/>
                <w:szCs w:val="24"/>
              </w:rPr>
              <w:t>万元，其中环保投资2</w:t>
            </w:r>
            <w:r>
              <w:rPr>
                <w:bCs/>
                <w:color w:val="auto"/>
                <w:sz w:val="24"/>
                <w:szCs w:val="24"/>
              </w:rPr>
              <w:t>40</w:t>
            </w:r>
            <w:r>
              <w:rPr>
                <w:rFonts w:hint="eastAsia"/>
                <w:bCs/>
                <w:color w:val="auto"/>
                <w:sz w:val="24"/>
                <w:szCs w:val="24"/>
              </w:rPr>
              <w:t>万元（不含水保投资），占工程总投资的0.57％。</w:t>
            </w:r>
          </w:p>
          <w:p>
            <w:pPr>
              <w:pStyle w:val="246"/>
              <w:ind w:firstLine="422" w:firstLineChars="200"/>
              <w:jc w:val="center"/>
              <w:rPr>
                <w:b/>
                <w:color w:val="auto"/>
                <w:sz w:val="21"/>
                <w:szCs w:val="21"/>
              </w:rPr>
            </w:pPr>
            <w:bookmarkStart w:id="38" w:name="_Ref35435390"/>
            <w:r>
              <w:rPr>
                <w:rFonts w:hint="eastAsia" w:eastAsiaTheme="minorEastAsia"/>
                <w:b/>
                <w:color w:val="auto"/>
                <w:sz w:val="21"/>
                <w:szCs w:val="21"/>
              </w:rPr>
              <w:t>表</w:t>
            </w:r>
            <w:bookmarkEnd w:id="38"/>
            <w:r>
              <w:rPr>
                <w:rFonts w:eastAsiaTheme="minorEastAsia"/>
                <w:b/>
                <w:color w:val="auto"/>
                <w:sz w:val="21"/>
                <w:szCs w:val="21"/>
              </w:rPr>
              <w:t xml:space="preserve">7-2     </w:t>
            </w:r>
            <w:r>
              <w:rPr>
                <w:rFonts w:hint="eastAsia"/>
                <w:b/>
                <w:color w:val="auto"/>
                <w:sz w:val="21"/>
                <w:szCs w:val="21"/>
              </w:rPr>
              <w:t>建设项目环保投资预算一览表</w:t>
            </w:r>
          </w:p>
          <w:tbl>
            <w:tblPr>
              <w:tblStyle w:val="86"/>
              <w:tblW w:w="8835"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62"/>
              <w:gridCol w:w="1587"/>
              <w:gridCol w:w="4806"/>
              <w:gridCol w:w="168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62" w:type="dxa"/>
                  <w:vAlign w:val="center"/>
                </w:tcPr>
                <w:p>
                  <w:pPr>
                    <w:jc w:val="center"/>
                    <w:rPr>
                      <w:color w:val="auto"/>
                      <w:szCs w:val="21"/>
                    </w:rPr>
                  </w:pPr>
                  <w:r>
                    <w:rPr>
                      <w:rFonts w:hint="eastAsia"/>
                      <w:color w:val="auto"/>
                      <w:szCs w:val="21"/>
                    </w:rPr>
                    <w:t>序号</w:t>
                  </w:r>
                </w:p>
              </w:tc>
              <w:tc>
                <w:tcPr>
                  <w:tcW w:w="1587" w:type="dxa"/>
                  <w:vAlign w:val="center"/>
                </w:tcPr>
                <w:p>
                  <w:pPr>
                    <w:jc w:val="center"/>
                    <w:rPr>
                      <w:color w:val="auto"/>
                      <w:szCs w:val="21"/>
                    </w:rPr>
                  </w:pPr>
                  <w:r>
                    <w:rPr>
                      <w:rFonts w:hint="eastAsia"/>
                      <w:color w:val="auto"/>
                      <w:szCs w:val="21"/>
                    </w:rPr>
                    <w:t>类别</w:t>
                  </w:r>
                </w:p>
              </w:tc>
              <w:tc>
                <w:tcPr>
                  <w:tcW w:w="4806" w:type="dxa"/>
                  <w:vAlign w:val="center"/>
                </w:tcPr>
                <w:p>
                  <w:pPr>
                    <w:jc w:val="center"/>
                    <w:rPr>
                      <w:color w:val="auto"/>
                      <w:szCs w:val="21"/>
                    </w:rPr>
                  </w:pPr>
                  <w:r>
                    <w:rPr>
                      <w:rFonts w:hint="eastAsia"/>
                      <w:color w:val="auto"/>
                      <w:szCs w:val="21"/>
                    </w:rPr>
                    <w:t>治理措施</w:t>
                  </w:r>
                </w:p>
              </w:tc>
              <w:tc>
                <w:tcPr>
                  <w:tcW w:w="1680" w:type="dxa"/>
                  <w:vAlign w:val="center"/>
                </w:tcPr>
                <w:p>
                  <w:pPr>
                    <w:jc w:val="center"/>
                    <w:rPr>
                      <w:color w:val="auto"/>
                      <w:szCs w:val="21"/>
                    </w:rPr>
                  </w:pPr>
                  <w:r>
                    <w:rPr>
                      <w:rFonts w:hint="eastAsia"/>
                      <w:color w:val="auto"/>
                      <w:szCs w:val="21"/>
                    </w:rPr>
                    <w:t>投资费用</w:t>
                  </w:r>
                  <w:r>
                    <w:rPr>
                      <w:color w:val="auto"/>
                      <w:szCs w:val="21"/>
                    </w:rPr>
                    <w:t>(</w:t>
                  </w:r>
                  <w:r>
                    <w:rPr>
                      <w:rFonts w:hint="eastAsia"/>
                      <w:color w:val="auto"/>
                      <w:szCs w:val="21"/>
                    </w:rPr>
                    <w:t>万元</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62" w:type="dxa"/>
                  <w:vMerge w:val="restart"/>
                  <w:vAlign w:val="center"/>
                </w:tcPr>
                <w:p>
                  <w:pPr>
                    <w:pStyle w:val="260"/>
                    <w:rPr>
                      <w:rFonts w:ascii="Times New Roman"/>
                      <w:color w:val="auto"/>
                      <w:szCs w:val="21"/>
                    </w:rPr>
                  </w:pPr>
                  <w:r>
                    <w:rPr>
                      <w:rFonts w:ascii="Times New Roman"/>
                      <w:color w:val="auto"/>
                      <w:szCs w:val="21"/>
                    </w:rPr>
                    <w:t>1</w:t>
                  </w:r>
                </w:p>
              </w:tc>
              <w:tc>
                <w:tcPr>
                  <w:tcW w:w="1587" w:type="dxa"/>
                  <w:vMerge w:val="restart"/>
                  <w:vAlign w:val="center"/>
                </w:tcPr>
                <w:p>
                  <w:pPr>
                    <w:jc w:val="center"/>
                    <w:rPr>
                      <w:color w:val="auto"/>
                      <w:szCs w:val="21"/>
                    </w:rPr>
                  </w:pPr>
                  <w:r>
                    <w:rPr>
                      <w:rFonts w:hint="eastAsia"/>
                      <w:color w:val="auto"/>
                      <w:szCs w:val="21"/>
                    </w:rPr>
                    <w:t>施工期</w:t>
                  </w:r>
                </w:p>
              </w:tc>
              <w:tc>
                <w:tcPr>
                  <w:tcW w:w="4806" w:type="dxa"/>
                  <w:vAlign w:val="center"/>
                </w:tcPr>
                <w:p>
                  <w:pPr>
                    <w:jc w:val="center"/>
                    <w:rPr>
                      <w:color w:val="auto"/>
                      <w:szCs w:val="21"/>
                    </w:rPr>
                  </w:pPr>
                  <w:r>
                    <w:rPr>
                      <w:rFonts w:hint="eastAsia"/>
                      <w:color w:val="auto"/>
                      <w:szCs w:val="21"/>
                    </w:rPr>
                    <w:t>施工洒水抑尘</w:t>
                  </w:r>
                </w:p>
              </w:tc>
              <w:tc>
                <w:tcPr>
                  <w:tcW w:w="1680" w:type="dxa"/>
                  <w:vAlign w:val="center"/>
                </w:tcPr>
                <w:p>
                  <w:pPr>
                    <w:jc w:val="center"/>
                    <w:rPr>
                      <w:color w:val="auto"/>
                      <w:szCs w:val="21"/>
                    </w:rPr>
                  </w:pPr>
                  <w:r>
                    <w:rPr>
                      <w:rFonts w:hint="eastAsia"/>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62" w:type="dxa"/>
                  <w:vMerge w:val="continue"/>
                  <w:vAlign w:val="center"/>
                </w:tcPr>
                <w:p>
                  <w:pPr>
                    <w:jc w:val="center"/>
                    <w:rPr>
                      <w:color w:val="auto"/>
                      <w:szCs w:val="21"/>
                    </w:rPr>
                  </w:pPr>
                </w:p>
              </w:tc>
              <w:tc>
                <w:tcPr>
                  <w:tcW w:w="1587" w:type="dxa"/>
                  <w:vMerge w:val="continue"/>
                  <w:vAlign w:val="center"/>
                </w:tcPr>
                <w:p>
                  <w:pPr>
                    <w:jc w:val="center"/>
                    <w:rPr>
                      <w:color w:val="auto"/>
                      <w:szCs w:val="21"/>
                    </w:rPr>
                  </w:pPr>
                </w:p>
              </w:tc>
              <w:tc>
                <w:tcPr>
                  <w:tcW w:w="4806" w:type="dxa"/>
                  <w:vAlign w:val="center"/>
                </w:tcPr>
                <w:p>
                  <w:pPr>
                    <w:jc w:val="center"/>
                    <w:rPr>
                      <w:color w:val="auto"/>
                      <w:szCs w:val="21"/>
                    </w:rPr>
                  </w:pPr>
                  <w:r>
                    <w:rPr>
                      <w:rFonts w:hint="eastAsia"/>
                      <w:color w:val="auto"/>
                      <w:szCs w:val="21"/>
                    </w:rPr>
                    <w:t>进出口冲洗车池</w:t>
                  </w:r>
                </w:p>
              </w:tc>
              <w:tc>
                <w:tcPr>
                  <w:tcW w:w="1680" w:type="dxa"/>
                  <w:vAlign w:val="center"/>
                </w:tcPr>
                <w:p>
                  <w:pPr>
                    <w:jc w:val="center"/>
                    <w:rPr>
                      <w:color w:val="auto"/>
                      <w:szCs w:val="21"/>
                    </w:rPr>
                  </w:pPr>
                  <w:r>
                    <w:rPr>
                      <w:rFonts w:hint="eastAsia"/>
                      <w:color w:val="auto"/>
                      <w:szCs w:val="21"/>
                    </w:rPr>
                    <w:t>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62" w:type="dxa"/>
                  <w:vMerge w:val="continue"/>
                  <w:vAlign w:val="center"/>
                </w:tcPr>
                <w:p>
                  <w:pPr>
                    <w:jc w:val="center"/>
                    <w:rPr>
                      <w:color w:val="auto"/>
                      <w:szCs w:val="21"/>
                    </w:rPr>
                  </w:pPr>
                </w:p>
              </w:tc>
              <w:tc>
                <w:tcPr>
                  <w:tcW w:w="1587" w:type="dxa"/>
                  <w:vMerge w:val="continue"/>
                  <w:vAlign w:val="center"/>
                </w:tcPr>
                <w:p>
                  <w:pPr>
                    <w:jc w:val="center"/>
                    <w:rPr>
                      <w:color w:val="auto"/>
                      <w:szCs w:val="21"/>
                    </w:rPr>
                  </w:pPr>
                </w:p>
              </w:tc>
              <w:tc>
                <w:tcPr>
                  <w:tcW w:w="4806" w:type="dxa"/>
                  <w:vAlign w:val="center"/>
                </w:tcPr>
                <w:p>
                  <w:pPr>
                    <w:jc w:val="center"/>
                    <w:rPr>
                      <w:color w:val="auto"/>
                      <w:szCs w:val="21"/>
                    </w:rPr>
                  </w:pPr>
                  <w:r>
                    <w:rPr>
                      <w:rFonts w:hint="eastAsia"/>
                      <w:color w:val="auto"/>
                      <w:szCs w:val="21"/>
                    </w:rPr>
                    <w:t>汽车冲洗加压泵及高压冲洗枪</w:t>
                  </w:r>
                </w:p>
              </w:tc>
              <w:tc>
                <w:tcPr>
                  <w:tcW w:w="1680" w:type="dxa"/>
                  <w:vAlign w:val="center"/>
                </w:tcPr>
                <w:p>
                  <w:pPr>
                    <w:jc w:val="center"/>
                    <w:rPr>
                      <w:color w:val="auto"/>
                      <w:szCs w:val="21"/>
                    </w:rPr>
                  </w:pPr>
                  <w:r>
                    <w:rPr>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62" w:type="dxa"/>
                  <w:vMerge w:val="continue"/>
                  <w:vAlign w:val="center"/>
                </w:tcPr>
                <w:p>
                  <w:pPr>
                    <w:jc w:val="center"/>
                    <w:rPr>
                      <w:color w:val="auto"/>
                      <w:szCs w:val="21"/>
                    </w:rPr>
                  </w:pPr>
                </w:p>
              </w:tc>
              <w:tc>
                <w:tcPr>
                  <w:tcW w:w="1587" w:type="dxa"/>
                  <w:vMerge w:val="continue"/>
                  <w:vAlign w:val="center"/>
                </w:tcPr>
                <w:p>
                  <w:pPr>
                    <w:jc w:val="center"/>
                    <w:rPr>
                      <w:color w:val="auto"/>
                      <w:szCs w:val="21"/>
                    </w:rPr>
                  </w:pPr>
                </w:p>
              </w:tc>
              <w:tc>
                <w:tcPr>
                  <w:tcW w:w="4806" w:type="dxa"/>
                  <w:vAlign w:val="center"/>
                </w:tcPr>
                <w:p>
                  <w:pPr>
                    <w:jc w:val="center"/>
                    <w:rPr>
                      <w:color w:val="auto"/>
                      <w:szCs w:val="21"/>
                    </w:rPr>
                  </w:pPr>
                  <w:r>
                    <w:rPr>
                      <w:rFonts w:hint="eastAsia"/>
                      <w:color w:val="auto"/>
                      <w:szCs w:val="21"/>
                    </w:rPr>
                    <w:t>施工设备低噪声设备、隔声减振</w:t>
                  </w:r>
                </w:p>
              </w:tc>
              <w:tc>
                <w:tcPr>
                  <w:tcW w:w="1680" w:type="dxa"/>
                  <w:vAlign w:val="center"/>
                </w:tcPr>
                <w:p>
                  <w:pPr>
                    <w:jc w:val="center"/>
                    <w:rPr>
                      <w:color w:val="auto"/>
                      <w:szCs w:val="21"/>
                    </w:rPr>
                  </w:pPr>
                  <w:r>
                    <w:rPr>
                      <w:rFonts w:hint="eastAsia"/>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762" w:type="dxa"/>
                  <w:vMerge w:val="restart"/>
                  <w:vAlign w:val="center"/>
                </w:tcPr>
                <w:p>
                  <w:pPr>
                    <w:jc w:val="center"/>
                    <w:rPr>
                      <w:color w:val="auto"/>
                      <w:szCs w:val="21"/>
                    </w:rPr>
                  </w:pPr>
                  <w:r>
                    <w:rPr>
                      <w:color w:val="auto"/>
                      <w:szCs w:val="21"/>
                    </w:rPr>
                    <w:t>2</w:t>
                  </w:r>
                </w:p>
              </w:tc>
              <w:tc>
                <w:tcPr>
                  <w:tcW w:w="1587" w:type="dxa"/>
                  <w:vMerge w:val="restart"/>
                  <w:vAlign w:val="center"/>
                </w:tcPr>
                <w:p>
                  <w:pPr>
                    <w:jc w:val="center"/>
                    <w:rPr>
                      <w:color w:val="auto"/>
                      <w:szCs w:val="21"/>
                    </w:rPr>
                  </w:pPr>
                  <w:r>
                    <w:rPr>
                      <w:rFonts w:hint="eastAsia"/>
                      <w:color w:val="auto"/>
                      <w:szCs w:val="21"/>
                    </w:rPr>
                    <w:t>营运期</w:t>
                  </w:r>
                </w:p>
              </w:tc>
              <w:tc>
                <w:tcPr>
                  <w:tcW w:w="4806" w:type="dxa"/>
                  <w:vAlign w:val="center"/>
                </w:tcPr>
                <w:p>
                  <w:pPr>
                    <w:jc w:val="center"/>
                    <w:rPr>
                      <w:color w:val="auto"/>
                      <w:szCs w:val="21"/>
                    </w:rPr>
                  </w:pPr>
                  <w:r>
                    <w:rPr>
                      <w:rFonts w:hint="eastAsia"/>
                      <w:color w:val="auto"/>
                      <w:szCs w:val="21"/>
                    </w:rPr>
                    <w:t>站内及周边植被恢复</w:t>
                  </w:r>
                </w:p>
              </w:tc>
              <w:tc>
                <w:tcPr>
                  <w:tcW w:w="1680" w:type="dxa"/>
                  <w:vAlign w:val="center"/>
                </w:tcPr>
                <w:p>
                  <w:pPr>
                    <w:jc w:val="center"/>
                    <w:rPr>
                      <w:color w:val="auto"/>
                      <w:szCs w:val="21"/>
                    </w:rPr>
                  </w:pPr>
                  <w:r>
                    <w:rPr>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62" w:type="dxa"/>
                  <w:vMerge w:val="continue"/>
                  <w:vAlign w:val="center"/>
                </w:tcPr>
                <w:p>
                  <w:pPr>
                    <w:jc w:val="center"/>
                    <w:rPr>
                      <w:color w:val="auto"/>
                      <w:szCs w:val="21"/>
                    </w:rPr>
                  </w:pPr>
                </w:p>
              </w:tc>
              <w:tc>
                <w:tcPr>
                  <w:tcW w:w="1587" w:type="dxa"/>
                  <w:vMerge w:val="continue"/>
                  <w:vAlign w:val="center"/>
                </w:tcPr>
                <w:p>
                  <w:pPr>
                    <w:jc w:val="center"/>
                    <w:rPr>
                      <w:color w:val="auto"/>
                      <w:szCs w:val="21"/>
                    </w:rPr>
                  </w:pPr>
                </w:p>
              </w:tc>
              <w:tc>
                <w:tcPr>
                  <w:tcW w:w="4806" w:type="dxa"/>
                  <w:vAlign w:val="center"/>
                </w:tcPr>
                <w:p>
                  <w:pPr>
                    <w:jc w:val="center"/>
                    <w:rPr>
                      <w:color w:val="auto"/>
                      <w:szCs w:val="21"/>
                    </w:rPr>
                  </w:pPr>
                  <w:r>
                    <w:rPr>
                      <w:rFonts w:hint="eastAsia"/>
                      <w:color w:val="auto"/>
                      <w:szCs w:val="21"/>
                    </w:rPr>
                    <w:t>事故油池</w:t>
                  </w:r>
                </w:p>
              </w:tc>
              <w:tc>
                <w:tcPr>
                  <w:tcW w:w="1680" w:type="dxa"/>
                  <w:vAlign w:val="center"/>
                </w:tcPr>
                <w:p>
                  <w:pPr>
                    <w:jc w:val="center"/>
                    <w:rPr>
                      <w:color w:val="auto"/>
                      <w:szCs w:val="21"/>
                    </w:rPr>
                  </w:pPr>
                  <w:r>
                    <w:rPr>
                      <w:rFonts w:hint="eastAsia"/>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62" w:type="dxa"/>
                  <w:vMerge w:val="continue"/>
                  <w:vAlign w:val="center"/>
                </w:tcPr>
                <w:p>
                  <w:pPr>
                    <w:jc w:val="center"/>
                    <w:rPr>
                      <w:color w:val="auto"/>
                      <w:szCs w:val="21"/>
                    </w:rPr>
                  </w:pPr>
                </w:p>
              </w:tc>
              <w:tc>
                <w:tcPr>
                  <w:tcW w:w="1587" w:type="dxa"/>
                  <w:vMerge w:val="continue"/>
                  <w:vAlign w:val="center"/>
                </w:tcPr>
                <w:p>
                  <w:pPr>
                    <w:jc w:val="center"/>
                    <w:rPr>
                      <w:color w:val="auto"/>
                      <w:szCs w:val="21"/>
                    </w:rPr>
                  </w:pPr>
                </w:p>
              </w:tc>
              <w:tc>
                <w:tcPr>
                  <w:tcW w:w="4806" w:type="dxa"/>
                  <w:vAlign w:val="center"/>
                </w:tcPr>
                <w:p>
                  <w:pPr>
                    <w:jc w:val="center"/>
                    <w:rPr>
                      <w:color w:val="auto"/>
                      <w:szCs w:val="21"/>
                    </w:rPr>
                  </w:pPr>
                  <w:r>
                    <w:rPr>
                      <w:rFonts w:hint="eastAsia"/>
                      <w:color w:val="auto"/>
                      <w:szCs w:val="21"/>
                    </w:rPr>
                    <w:t>风机消声器、隔声屏障</w:t>
                  </w:r>
                </w:p>
              </w:tc>
              <w:tc>
                <w:tcPr>
                  <w:tcW w:w="1680" w:type="dxa"/>
                  <w:vAlign w:val="center"/>
                </w:tcPr>
                <w:p>
                  <w:pPr>
                    <w:jc w:val="center"/>
                    <w:rPr>
                      <w:color w:val="auto"/>
                      <w:szCs w:val="21"/>
                    </w:rPr>
                  </w:pPr>
                  <w:r>
                    <w:rPr>
                      <w:rFonts w:hint="eastAsia"/>
                      <w:color w:val="auto"/>
                      <w:szCs w:val="21"/>
                    </w:rPr>
                    <w:t>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62" w:type="dxa"/>
                  <w:vMerge w:val="continue"/>
                  <w:vAlign w:val="center"/>
                </w:tcPr>
                <w:p>
                  <w:pPr>
                    <w:jc w:val="center"/>
                    <w:rPr>
                      <w:color w:val="auto"/>
                      <w:szCs w:val="21"/>
                    </w:rPr>
                  </w:pPr>
                </w:p>
              </w:tc>
              <w:tc>
                <w:tcPr>
                  <w:tcW w:w="1587" w:type="dxa"/>
                  <w:vMerge w:val="continue"/>
                  <w:vAlign w:val="center"/>
                </w:tcPr>
                <w:p>
                  <w:pPr>
                    <w:jc w:val="center"/>
                    <w:rPr>
                      <w:color w:val="auto"/>
                      <w:szCs w:val="21"/>
                    </w:rPr>
                  </w:pPr>
                </w:p>
              </w:tc>
              <w:tc>
                <w:tcPr>
                  <w:tcW w:w="4806" w:type="dxa"/>
                  <w:vAlign w:val="center"/>
                </w:tcPr>
                <w:p>
                  <w:pPr>
                    <w:jc w:val="center"/>
                    <w:rPr>
                      <w:color w:val="auto"/>
                      <w:szCs w:val="21"/>
                    </w:rPr>
                  </w:pPr>
                  <w:r>
                    <w:rPr>
                      <w:rFonts w:hint="eastAsia"/>
                      <w:color w:val="auto"/>
                      <w:szCs w:val="21"/>
                    </w:rPr>
                    <w:t>化粪池清掏</w:t>
                  </w:r>
                </w:p>
              </w:tc>
              <w:tc>
                <w:tcPr>
                  <w:tcW w:w="1680" w:type="dxa"/>
                  <w:vAlign w:val="center"/>
                </w:tcPr>
                <w:p>
                  <w:pPr>
                    <w:jc w:val="center"/>
                    <w:rPr>
                      <w:color w:val="auto"/>
                      <w:szCs w:val="21"/>
                    </w:rPr>
                  </w:pPr>
                  <w:r>
                    <w:rPr>
                      <w:rFonts w:hint="eastAsia"/>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62" w:type="dxa"/>
                  <w:vAlign w:val="center"/>
                </w:tcPr>
                <w:p>
                  <w:pPr>
                    <w:jc w:val="center"/>
                    <w:rPr>
                      <w:color w:val="auto"/>
                      <w:szCs w:val="21"/>
                    </w:rPr>
                  </w:pPr>
                  <w:r>
                    <w:rPr>
                      <w:color w:val="auto"/>
                      <w:szCs w:val="21"/>
                    </w:rPr>
                    <w:t>3</w:t>
                  </w:r>
                </w:p>
              </w:tc>
              <w:tc>
                <w:tcPr>
                  <w:tcW w:w="6393" w:type="dxa"/>
                  <w:gridSpan w:val="2"/>
                  <w:vAlign w:val="center"/>
                </w:tcPr>
                <w:p>
                  <w:pPr>
                    <w:jc w:val="center"/>
                    <w:rPr>
                      <w:color w:val="auto"/>
                      <w:szCs w:val="21"/>
                    </w:rPr>
                  </w:pPr>
                  <w:r>
                    <w:rPr>
                      <w:rFonts w:hint="eastAsia"/>
                      <w:color w:val="auto"/>
                      <w:szCs w:val="21"/>
                    </w:rPr>
                    <w:t>合计</w:t>
                  </w:r>
                </w:p>
              </w:tc>
              <w:tc>
                <w:tcPr>
                  <w:tcW w:w="1680" w:type="dxa"/>
                  <w:vAlign w:val="center"/>
                </w:tcPr>
                <w:p>
                  <w:pPr>
                    <w:jc w:val="center"/>
                    <w:rPr>
                      <w:color w:val="auto"/>
                      <w:szCs w:val="21"/>
                    </w:rPr>
                  </w:pPr>
                  <w:r>
                    <w:rPr>
                      <w:rFonts w:hint="eastAsia"/>
                      <w:color w:val="auto"/>
                      <w:szCs w:val="21"/>
                    </w:rPr>
                    <w:t>240</w:t>
                  </w:r>
                </w:p>
              </w:tc>
            </w:tr>
          </w:tbl>
          <w:p>
            <w:pPr>
              <w:spacing w:line="360" w:lineRule="auto"/>
              <w:rPr>
                <w:b/>
                <w:color w:val="auto"/>
                <w:sz w:val="24"/>
              </w:rPr>
            </w:pPr>
            <w:r>
              <w:rPr>
                <w:b/>
                <w:color w:val="auto"/>
                <w:sz w:val="24"/>
              </w:rPr>
              <w:t>7.4</w:t>
            </w:r>
            <w:r>
              <w:rPr>
                <w:rFonts w:hint="eastAsia"/>
                <w:b/>
                <w:color w:val="auto"/>
                <w:sz w:val="24"/>
              </w:rPr>
              <w:t>环境保护措施及竣工环境保护验收</w:t>
            </w:r>
          </w:p>
          <w:p>
            <w:pPr>
              <w:spacing w:line="360" w:lineRule="auto"/>
              <w:rPr>
                <w:b/>
                <w:color w:val="auto"/>
                <w:sz w:val="24"/>
              </w:rPr>
            </w:pPr>
            <w:r>
              <w:rPr>
                <w:b/>
                <w:color w:val="auto"/>
                <w:sz w:val="24"/>
              </w:rPr>
              <w:t>7.4.1</w:t>
            </w:r>
            <w:r>
              <w:rPr>
                <w:rFonts w:hint="eastAsia"/>
                <w:b/>
                <w:color w:val="auto"/>
                <w:sz w:val="24"/>
              </w:rPr>
              <w:t>环境保护措施</w:t>
            </w:r>
          </w:p>
          <w:p>
            <w:pPr>
              <w:spacing w:line="360" w:lineRule="auto"/>
              <w:ind w:firstLine="588" w:firstLineChars="245"/>
              <w:rPr>
                <w:bCs/>
                <w:color w:val="auto"/>
                <w:sz w:val="24"/>
              </w:rPr>
            </w:pPr>
            <w:r>
              <w:rPr>
                <w:rFonts w:hint="eastAsia"/>
                <w:bCs/>
                <w:color w:val="auto"/>
                <w:sz w:val="24"/>
              </w:rPr>
              <w:t>鉴于本工程已建成投产多年，施工期已不复存在，因此</w:t>
            </w:r>
            <w:r>
              <w:rPr>
                <w:rFonts w:hint="eastAsia"/>
                <w:iCs/>
                <w:color w:val="auto"/>
                <w:kern w:val="0"/>
                <w:sz w:val="24"/>
              </w:rPr>
              <w:t>本评价从设计阶段和运行阶段分析</w:t>
            </w:r>
            <w:r>
              <w:rPr>
                <w:rFonts w:hint="eastAsia"/>
                <w:bCs/>
                <w:color w:val="auto"/>
                <w:sz w:val="24"/>
              </w:rPr>
              <w:t>项目与</w:t>
            </w:r>
            <w:r>
              <w:rPr>
                <w:rFonts w:hint="eastAsia"/>
                <w:iCs/>
                <w:color w:val="auto"/>
                <w:kern w:val="0"/>
                <w:sz w:val="24"/>
              </w:rPr>
              <w:t>《输变电建设项目环境保护技术要求》（</w:t>
            </w:r>
            <w:r>
              <w:rPr>
                <w:iCs/>
                <w:color w:val="auto"/>
                <w:kern w:val="0"/>
                <w:sz w:val="24"/>
              </w:rPr>
              <w:t>HJ1113-2020</w:t>
            </w:r>
            <w:r>
              <w:rPr>
                <w:rFonts w:hint="eastAsia"/>
                <w:iCs/>
                <w:color w:val="auto"/>
                <w:kern w:val="0"/>
                <w:sz w:val="24"/>
              </w:rPr>
              <w:t>）的符合性，详见</w:t>
            </w:r>
            <w:r>
              <w:rPr>
                <w:rFonts w:hint="eastAsia"/>
                <w:bCs/>
                <w:color w:val="auto"/>
                <w:sz w:val="24"/>
              </w:rPr>
              <w:t>表</w:t>
            </w:r>
            <w:r>
              <w:rPr>
                <w:bCs/>
                <w:color w:val="auto"/>
                <w:sz w:val="24"/>
              </w:rPr>
              <w:t>7-3</w:t>
            </w:r>
            <w:r>
              <w:rPr>
                <w:rFonts w:hint="eastAsia"/>
                <w:bCs/>
                <w:color w:val="auto"/>
                <w:sz w:val="24"/>
              </w:rPr>
              <w:t>。</w:t>
            </w:r>
          </w:p>
          <w:p>
            <w:pPr>
              <w:spacing w:line="360" w:lineRule="auto"/>
              <w:ind w:firstLine="517" w:firstLineChars="245"/>
              <w:jc w:val="center"/>
              <w:rPr>
                <w:b/>
                <w:bCs/>
                <w:color w:val="auto"/>
                <w:szCs w:val="21"/>
              </w:rPr>
            </w:pPr>
            <w:r>
              <w:rPr>
                <w:rFonts w:hint="eastAsia"/>
                <w:b/>
                <w:bCs/>
                <w:color w:val="auto"/>
                <w:szCs w:val="21"/>
              </w:rPr>
              <w:t>表</w:t>
            </w:r>
            <w:r>
              <w:rPr>
                <w:b/>
                <w:bCs/>
                <w:color w:val="auto"/>
                <w:szCs w:val="21"/>
              </w:rPr>
              <w:t xml:space="preserve">7-3   </w:t>
            </w:r>
            <w:r>
              <w:rPr>
                <w:rFonts w:hint="eastAsia"/>
                <w:b/>
                <w:bCs/>
                <w:color w:val="auto"/>
                <w:szCs w:val="21"/>
              </w:rPr>
              <w:t>环境保护措施一览表</w:t>
            </w:r>
          </w:p>
          <w:tbl>
            <w:tblPr>
              <w:tblStyle w:val="87"/>
              <w:tblW w:w="8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851"/>
              <w:gridCol w:w="850"/>
              <w:gridCol w:w="851"/>
              <w:gridCol w:w="5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vAlign w:val="center"/>
                </w:tcPr>
                <w:p>
                  <w:pPr>
                    <w:jc w:val="center"/>
                    <w:rPr>
                      <w:bCs/>
                      <w:color w:val="auto"/>
                      <w:szCs w:val="21"/>
                    </w:rPr>
                  </w:pPr>
                  <w:r>
                    <w:rPr>
                      <w:rFonts w:hint="eastAsia"/>
                      <w:bCs/>
                      <w:color w:val="auto"/>
                      <w:szCs w:val="21"/>
                    </w:rPr>
                    <w:t>序号</w:t>
                  </w:r>
                </w:p>
              </w:tc>
              <w:tc>
                <w:tcPr>
                  <w:tcW w:w="851" w:type="dxa"/>
                  <w:vAlign w:val="center"/>
                </w:tcPr>
                <w:p>
                  <w:pPr>
                    <w:jc w:val="center"/>
                    <w:rPr>
                      <w:bCs/>
                      <w:color w:val="auto"/>
                      <w:szCs w:val="21"/>
                    </w:rPr>
                  </w:pPr>
                  <w:r>
                    <w:rPr>
                      <w:rFonts w:hint="eastAsia"/>
                      <w:bCs/>
                      <w:color w:val="auto"/>
                      <w:szCs w:val="21"/>
                    </w:rPr>
                    <w:t>环境影响因素</w:t>
                  </w:r>
                </w:p>
              </w:tc>
              <w:tc>
                <w:tcPr>
                  <w:tcW w:w="850" w:type="dxa"/>
                  <w:vAlign w:val="center"/>
                </w:tcPr>
                <w:p>
                  <w:pPr>
                    <w:jc w:val="center"/>
                    <w:rPr>
                      <w:bCs/>
                      <w:color w:val="auto"/>
                      <w:szCs w:val="21"/>
                    </w:rPr>
                  </w:pPr>
                  <w:r>
                    <w:rPr>
                      <w:rFonts w:hint="eastAsia"/>
                      <w:bCs/>
                      <w:color w:val="auto"/>
                      <w:szCs w:val="21"/>
                    </w:rPr>
                    <w:t>不同阶段</w:t>
                  </w:r>
                </w:p>
              </w:tc>
              <w:tc>
                <w:tcPr>
                  <w:tcW w:w="6566" w:type="dxa"/>
                  <w:gridSpan w:val="2"/>
                  <w:vAlign w:val="center"/>
                </w:tcPr>
                <w:p>
                  <w:pPr>
                    <w:jc w:val="center"/>
                    <w:rPr>
                      <w:bCs/>
                      <w:color w:val="auto"/>
                      <w:szCs w:val="21"/>
                    </w:rPr>
                  </w:pPr>
                  <w:r>
                    <w:rPr>
                      <w:rFonts w:hint="eastAsia"/>
                      <w:bCs/>
                      <w:color w:val="auto"/>
                      <w:szCs w:val="21"/>
                    </w:rPr>
                    <w:t>工程设计及运行阶段已采取的环保措施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vMerge w:val="restart"/>
                  <w:vAlign w:val="center"/>
                </w:tcPr>
                <w:p>
                  <w:pPr>
                    <w:jc w:val="center"/>
                    <w:rPr>
                      <w:bCs/>
                      <w:color w:val="auto"/>
                      <w:szCs w:val="21"/>
                    </w:rPr>
                  </w:pPr>
                  <w:r>
                    <w:rPr>
                      <w:bCs/>
                      <w:color w:val="auto"/>
                      <w:szCs w:val="21"/>
                    </w:rPr>
                    <w:t>1</w:t>
                  </w:r>
                </w:p>
              </w:tc>
              <w:tc>
                <w:tcPr>
                  <w:tcW w:w="851" w:type="dxa"/>
                  <w:vMerge w:val="restart"/>
                  <w:vAlign w:val="center"/>
                </w:tcPr>
                <w:p>
                  <w:pPr>
                    <w:jc w:val="center"/>
                    <w:rPr>
                      <w:bCs/>
                      <w:color w:val="auto"/>
                      <w:szCs w:val="21"/>
                    </w:rPr>
                  </w:pPr>
                  <w:r>
                    <w:rPr>
                      <w:rFonts w:hint="eastAsia"/>
                      <w:bCs/>
                      <w:color w:val="auto"/>
                      <w:szCs w:val="21"/>
                    </w:rPr>
                    <w:t>电磁环境</w:t>
                  </w:r>
                </w:p>
              </w:tc>
              <w:tc>
                <w:tcPr>
                  <w:tcW w:w="850" w:type="dxa"/>
                  <w:vAlign w:val="center"/>
                </w:tcPr>
                <w:p>
                  <w:pPr>
                    <w:jc w:val="center"/>
                    <w:rPr>
                      <w:bCs/>
                      <w:color w:val="auto"/>
                      <w:szCs w:val="21"/>
                    </w:rPr>
                  </w:pPr>
                  <w:r>
                    <w:rPr>
                      <w:rFonts w:hint="eastAsia"/>
                      <w:bCs/>
                      <w:color w:val="auto"/>
                      <w:szCs w:val="21"/>
                    </w:rPr>
                    <w:t>设计阶段</w:t>
                  </w:r>
                </w:p>
              </w:tc>
              <w:tc>
                <w:tcPr>
                  <w:tcW w:w="851" w:type="dxa"/>
                  <w:vAlign w:val="center"/>
                </w:tcPr>
                <w:p>
                  <w:pPr>
                    <w:jc w:val="center"/>
                    <w:rPr>
                      <w:bCs/>
                      <w:color w:val="auto"/>
                      <w:szCs w:val="21"/>
                    </w:rPr>
                  </w:pPr>
                  <w:r>
                    <w:rPr>
                      <w:rFonts w:hint="eastAsia"/>
                      <w:bCs/>
                      <w:color w:val="auto"/>
                      <w:szCs w:val="21"/>
                    </w:rPr>
                    <w:t>污染控制措施</w:t>
                  </w:r>
                </w:p>
              </w:tc>
              <w:tc>
                <w:tcPr>
                  <w:tcW w:w="5715" w:type="dxa"/>
                  <w:vAlign w:val="center"/>
                </w:tcPr>
                <w:p>
                  <w:pPr>
                    <w:rPr>
                      <w:bCs/>
                      <w:color w:val="auto"/>
                      <w:szCs w:val="21"/>
                    </w:rPr>
                  </w:pPr>
                  <w:r>
                    <w:rPr>
                      <w:rFonts w:hint="eastAsia"/>
                      <w:bCs/>
                      <w:color w:val="auto"/>
                      <w:szCs w:val="21"/>
                    </w:rPr>
                    <w:t>①变电站应严格按照技术规程选择电气设备，对高压一次设备采用均压措施。</w:t>
                  </w:r>
                </w:p>
                <w:p>
                  <w:pPr>
                    <w:rPr>
                      <w:bCs/>
                      <w:color w:val="auto"/>
                      <w:szCs w:val="21"/>
                    </w:rPr>
                  </w:pPr>
                  <w:r>
                    <w:rPr>
                      <w:rFonts w:hint="eastAsia"/>
                      <w:bCs/>
                      <w:color w:val="auto"/>
                      <w:szCs w:val="21"/>
                    </w:rPr>
                    <w:t>②控制导体和电气设备安全距离，选用具有抗干扰能力的设备，设置防雷接地保护装置，同时在变电站设备定货时，要求导线、母线、均压环、管母线终端球和其他金具等提高加工工艺，防止尖端放电和起电晕，降低静电感应的影响。</w:t>
                  </w:r>
                </w:p>
                <w:p>
                  <w:pPr>
                    <w:rPr>
                      <w:bCs/>
                      <w:color w:val="auto"/>
                      <w:szCs w:val="21"/>
                    </w:rPr>
                  </w:pPr>
                  <w:r>
                    <w:rPr>
                      <w:rFonts w:hint="eastAsia"/>
                      <w:bCs/>
                      <w:color w:val="auto"/>
                      <w:szCs w:val="21"/>
                    </w:rPr>
                    <w:t>③控制配电构架高度、对地和相间距离，控制设备间连线离地面的最低高度，确保变电站围墙外附近办公等场所的电磁环境符合相应标准。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vMerge w:val="continue"/>
                  <w:vAlign w:val="center"/>
                </w:tcPr>
                <w:p>
                  <w:pPr>
                    <w:jc w:val="center"/>
                    <w:rPr>
                      <w:bCs/>
                      <w:color w:val="auto"/>
                      <w:szCs w:val="21"/>
                    </w:rPr>
                  </w:pPr>
                </w:p>
              </w:tc>
              <w:tc>
                <w:tcPr>
                  <w:tcW w:w="851" w:type="dxa"/>
                  <w:vMerge w:val="continue"/>
                  <w:vAlign w:val="center"/>
                </w:tcPr>
                <w:p>
                  <w:pPr>
                    <w:jc w:val="center"/>
                    <w:rPr>
                      <w:bCs/>
                      <w:color w:val="auto"/>
                      <w:szCs w:val="21"/>
                    </w:rPr>
                  </w:pPr>
                </w:p>
              </w:tc>
              <w:tc>
                <w:tcPr>
                  <w:tcW w:w="850" w:type="dxa"/>
                  <w:vAlign w:val="center"/>
                </w:tcPr>
                <w:p>
                  <w:pPr>
                    <w:jc w:val="center"/>
                    <w:rPr>
                      <w:bCs/>
                      <w:color w:val="auto"/>
                      <w:szCs w:val="21"/>
                    </w:rPr>
                  </w:pPr>
                  <w:r>
                    <w:rPr>
                      <w:rFonts w:hint="eastAsia"/>
                      <w:bCs/>
                      <w:color w:val="auto"/>
                      <w:szCs w:val="21"/>
                    </w:rPr>
                    <w:t>运行阶段</w:t>
                  </w:r>
                </w:p>
              </w:tc>
              <w:tc>
                <w:tcPr>
                  <w:tcW w:w="851" w:type="dxa"/>
                  <w:vAlign w:val="center"/>
                </w:tcPr>
                <w:p>
                  <w:pPr>
                    <w:jc w:val="center"/>
                    <w:rPr>
                      <w:bCs/>
                      <w:color w:val="auto"/>
                      <w:szCs w:val="21"/>
                    </w:rPr>
                  </w:pPr>
                  <w:r>
                    <w:rPr>
                      <w:rFonts w:hint="eastAsia"/>
                      <w:bCs/>
                      <w:color w:val="auto"/>
                      <w:szCs w:val="21"/>
                    </w:rPr>
                    <w:t>其他环保措施</w:t>
                  </w:r>
                </w:p>
              </w:tc>
              <w:tc>
                <w:tcPr>
                  <w:tcW w:w="5715" w:type="dxa"/>
                  <w:vAlign w:val="center"/>
                </w:tcPr>
                <w:p>
                  <w:pPr>
                    <w:rPr>
                      <w:bCs/>
                      <w:color w:val="auto"/>
                      <w:szCs w:val="21"/>
                    </w:rPr>
                  </w:pPr>
                  <w:r>
                    <w:rPr>
                      <w:rFonts w:hint="eastAsia"/>
                      <w:bCs/>
                      <w:color w:val="auto"/>
                      <w:szCs w:val="21"/>
                    </w:rPr>
                    <w:t>变电站属于厂中厂设置，评价范围内无敏感点，电磁环境符合相应标准。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vAlign w:val="center"/>
                </w:tcPr>
                <w:p>
                  <w:pPr>
                    <w:jc w:val="center"/>
                    <w:rPr>
                      <w:bCs/>
                      <w:color w:val="auto"/>
                      <w:szCs w:val="21"/>
                    </w:rPr>
                  </w:pPr>
                  <w:r>
                    <w:rPr>
                      <w:bCs/>
                      <w:color w:val="auto"/>
                      <w:szCs w:val="21"/>
                    </w:rPr>
                    <w:t>2</w:t>
                  </w:r>
                </w:p>
              </w:tc>
              <w:tc>
                <w:tcPr>
                  <w:tcW w:w="851" w:type="dxa"/>
                  <w:vAlign w:val="center"/>
                </w:tcPr>
                <w:p>
                  <w:pPr>
                    <w:jc w:val="center"/>
                    <w:rPr>
                      <w:bCs/>
                      <w:color w:val="auto"/>
                      <w:szCs w:val="21"/>
                    </w:rPr>
                  </w:pPr>
                  <w:r>
                    <w:rPr>
                      <w:rFonts w:hint="eastAsia"/>
                      <w:bCs/>
                      <w:color w:val="auto"/>
                      <w:szCs w:val="21"/>
                    </w:rPr>
                    <w:t>声环境</w:t>
                  </w:r>
                </w:p>
              </w:tc>
              <w:tc>
                <w:tcPr>
                  <w:tcW w:w="850" w:type="dxa"/>
                  <w:vAlign w:val="center"/>
                </w:tcPr>
                <w:p>
                  <w:pPr>
                    <w:jc w:val="center"/>
                    <w:rPr>
                      <w:bCs/>
                      <w:color w:val="auto"/>
                      <w:szCs w:val="21"/>
                    </w:rPr>
                  </w:pPr>
                  <w:r>
                    <w:rPr>
                      <w:rFonts w:hint="eastAsia"/>
                      <w:bCs/>
                      <w:color w:val="auto"/>
                      <w:szCs w:val="21"/>
                    </w:rPr>
                    <w:t>设计阶段</w:t>
                  </w:r>
                </w:p>
              </w:tc>
              <w:tc>
                <w:tcPr>
                  <w:tcW w:w="851" w:type="dxa"/>
                  <w:vAlign w:val="center"/>
                </w:tcPr>
                <w:p>
                  <w:pPr>
                    <w:jc w:val="center"/>
                    <w:rPr>
                      <w:bCs/>
                      <w:color w:val="auto"/>
                      <w:szCs w:val="21"/>
                    </w:rPr>
                  </w:pPr>
                  <w:r>
                    <w:rPr>
                      <w:rFonts w:hint="eastAsia"/>
                      <w:bCs/>
                      <w:color w:val="auto"/>
                      <w:szCs w:val="21"/>
                    </w:rPr>
                    <w:t>污染控制措施</w:t>
                  </w:r>
                </w:p>
              </w:tc>
              <w:tc>
                <w:tcPr>
                  <w:tcW w:w="5715" w:type="dxa"/>
                </w:tcPr>
                <w:p>
                  <w:pPr>
                    <w:rPr>
                      <w:bCs/>
                      <w:color w:val="auto"/>
                      <w:szCs w:val="21"/>
                    </w:rPr>
                  </w:pPr>
                  <w:r>
                    <w:rPr>
                      <w:rFonts w:hint="eastAsia"/>
                      <w:bCs/>
                      <w:color w:val="auto"/>
                      <w:szCs w:val="21"/>
                    </w:rPr>
                    <w:t>合理进行总平面规划布置，将主变压器等主要噪声源布置在站区中心位置。在设备选型上选用符合国家噪声标准的设备，如主变压器定货时，对设备的噪声指标提出要求，从源头控制噪声，其距离主变压器</w:t>
                  </w:r>
                  <w:r>
                    <w:rPr>
                      <w:bCs/>
                      <w:color w:val="auto"/>
                      <w:szCs w:val="21"/>
                    </w:rPr>
                    <w:t>1m</w:t>
                  </w:r>
                  <w:r>
                    <w:rPr>
                      <w:rFonts w:hint="eastAsia"/>
                      <w:bCs/>
                      <w:color w:val="auto"/>
                      <w:szCs w:val="21"/>
                    </w:rPr>
                    <w:t>处声压级不得高于</w:t>
                  </w:r>
                  <w:r>
                    <w:rPr>
                      <w:bCs/>
                      <w:color w:val="auto"/>
                      <w:szCs w:val="21"/>
                    </w:rPr>
                    <w:t>65dB</w:t>
                  </w:r>
                  <w:r>
                    <w:rPr>
                      <w:rFonts w:hint="eastAsia"/>
                      <w:bCs/>
                      <w:color w:val="auto"/>
                      <w:szCs w:val="21"/>
                    </w:rPr>
                    <w:t>（</w:t>
                  </w:r>
                  <w:r>
                    <w:rPr>
                      <w:bCs/>
                      <w:color w:val="auto"/>
                      <w:szCs w:val="21"/>
                    </w:rPr>
                    <w:t>A</w:t>
                  </w:r>
                  <w:r>
                    <w:rPr>
                      <w:rFonts w:hint="eastAsia"/>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vAlign w:val="center"/>
                </w:tcPr>
                <w:p>
                  <w:pPr>
                    <w:jc w:val="center"/>
                    <w:rPr>
                      <w:bCs/>
                      <w:color w:val="auto"/>
                      <w:szCs w:val="21"/>
                    </w:rPr>
                  </w:pPr>
                  <w:r>
                    <w:rPr>
                      <w:bCs/>
                      <w:color w:val="auto"/>
                      <w:szCs w:val="21"/>
                    </w:rPr>
                    <w:t>3</w:t>
                  </w:r>
                </w:p>
              </w:tc>
              <w:tc>
                <w:tcPr>
                  <w:tcW w:w="851" w:type="dxa"/>
                  <w:vAlign w:val="center"/>
                </w:tcPr>
                <w:p>
                  <w:pPr>
                    <w:jc w:val="center"/>
                    <w:rPr>
                      <w:bCs/>
                      <w:color w:val="auto"/>
                      <w:szCs w:val="21"/>
                    </w:rPr>
                  </w:pPr>
                  <w:r>
                    <w:rPr>
                      <w:rFonts w:hint="eastAsia"/>
                      <w:bCs/>
                      <w:color w:val="auto"/>
                      <w:szCs w:val="21"/>
                    </w:rPr>
                    <w:t>固体废物</w:t>
                  </w:r>
                </w:p>
              </w:tc>
              <w:tc>
                <w:tcPr>
                  <w:tcW w:w="850" w:type="dxa"/>
                  <w:vAlign w:val="center"/>
                </w:tcPr>
                <w:p>
                  <w:pPr>
                    <w:jc w:val="center"/>
                    <w:rPr>
                      <w:bCs/>
                      <w:color w:val="auto"/>
                      <w:szCs w:val="21"/>
                    </w:rPr>
                  </w:pPr>
                  <w:r>
                    <w:rPr>
                      <w:rFonts w:hint="eastAsia"/>
                      <w:bCs/>
                      <w:color w:val="auto"/>
                      <w:szCs w:val="21"/>
                    </w:rPr>
                    <w:t>运行阶段</w:t>
                  </w:r>
                </w:p>
              </w:tc>
              <w:tc>
                <w:tcPr>
                  <w:tcW w:w="851" w:type="dxa"/>
                  <w:vAlign w:val="center"/>
                </w:tcPr>
                <w:p>
                  <w:pPr>
                    <w:jc w:val="center"/>
                    <w:rPr>
                      <w:bCs/>
                      <w:color w:val="auto"/>
                      <w:szCs w:val="21"/>
                    </w:rPr>
                  </w:pPr>
                  <w:r>
                    <w:rPr>
                      <w:rFonts w:hint="eastAsia"/>
                      <w:bCs/>
                      <w:color w:val="auto"/>
                      <w:szCs w:val="21"/>
                    </w:rPr>
                    <w:t>污染控制措施</w:t>
                  </w:r>
                </w:p>
              </w:tc>
              <w:tc>
                <w:tcPr>
                  <w:tcW w:w="5715" w:type="dxa"/>
                  <w:vAlign w:val="center"/>
                </w:tcPr>
                <w:p>
                  <w:pPr>
                    <w:rPr>
                      <w:bCs/>
                      <w:color w:val="auto"/>
                      <w:szCs w:val="21"/>
                    </w:rPr>
                  </w:pPr>
                  <w:r>
                    <w:rPr>
                      <w:rFonts w:hint="eastAsia"/>
                      <w:bCs/>
                      <w:color w:val="auto"/>
                      <w:szCs w:val="21"/>
                    </w:rPr>
                    <w:t>①变电站内生活垃圾收集后由变电站运营单位运至当地垃圾</w:t>
                  </w:r>
                </w:p>
                <w:p>
                  <w:pPr>
                    <w:rPr>
                      <w:bCs/>
                      <w:color w:val="auto"/>
                      <w:szCs w:val="21"/>
                    </w:rPr>
                  </w:pPr>
                  <w:r>
                    <w:rPr>
                      <w:rFonts w:hint="eastAsia"/>
                      <w:bCs/>
                      <w:color w:val="auto"/>
                      <w:szCs w:val="21"/>
                    </w:rPr>
                    <w:t>站。</w:t>
                  </w:r>
                </w:p>
                <w:p>
                  <w:pPr>
                    <w:rPr>
                      <w:bCs/>
                      <w:color w:val="auto"/>
                      <w:szCs w:val="21"/>
                    </w:rPr>
                  </w:pPr>
                  <w:r>
                    <w:rPr>
                      <w:rFonts w:hint="eastAsia"/>
                      <w:bCs/>
                      <w:color w:val="auto"/>
                      <w:szCs w:val="21"/>
                    </w:rPr>
                    <w:t>②储能电站内主变铅酸蓄电池待使用寿命结束后，废旧蓄电池交由有资质单位处理，严禁随意丢弃。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vAlign w:val="center"/>
                </w:tcPr>
                <w:p>
                  <w:pPr>
                    <w:jc w:val="center"/>
                    <w:rPr>
                      <w:bCs/>
                      <w:color w:val="auto"/>
                      <w:szCs w:val="21"/>
                    </w:rPr>
                  </w:pPr>
                  <w:r>
                    <w:rPr>
                      <w:bCs/>
                      <w:color w:val="auto"/>
                      <w:szCs w:val="21"/>
                    </w:rPr>
                    <w:t>4</w:t>
                  </w:r>
                </w:p>
              </w:tc>
              <w:tc>
                <w:tcPr>
                  <w:tcW w:w="851" w:type="dxa"/>
                  <w:vAlign w:val="center"/>
                </w:tcPr>
                <w:p>
                  <w:pPr>
                    <w:jc w:val="center"/>
                    <w:rPr>
                      <w:bCs/>
                      <w:color w:val="auto"/>
                      <w:szCs w:val="21"/>
                    </w:rPr>
                  </w:pPr>
                  <w:r>
                    <w:rPr>
                      <w:rFonts w:hint="eastAsia"/>
                      <w:bCs/>
                      <w:color w:val="auto"/>
                      <w:szCs w:val="21"/>
                    </w:rPr>
                    <w:t>环境风险</w:t>
                  </w:r>
                </w:p>
              </w:tc>
              <w:tc>
                <w:tcPr>
                  <w:tcW w:w="850" w:type="dxa"/>
                  <w:vAlign w:val="center"/>
                </w:tcPr>
                <w:p>
                  <w:pPr>
                    <w:jc w:val="center"/>
                    <w:rPr>
                      <w:bCs/>
                      <w:color w:val="auto"/>
                      <w:szCs w:val="21"/>
                    </w:rPr>
                  </w:pPr>
                  <w:r>
                    <w:rPr>
                      <w:rFonts w:hint="eastAsia"/>
                      <w:bCs/>
                      <w:color w:val="auto"/>
                      <w:szCs w:val="21"/>
                    </w:rPr>
                    <w:t>运行阶段</w:t>
                  </w:r>
                </w:p>
              </w:tc>
              <w:tc>
                <w:tcPr>
                  <w:tcW w:w="851" w:type="dxa"/>
                  <w:vAlign w:val="center"/>
                </w:tcPr>
                <w:p>
                  <w:pPr>
                    <w:jc w:val="center"/>
                    <w:rPr>
                      <w:bCs/>
                      <w:color w:val="auto"/>
                      <w:szCs w:val="21"/>
                    </w:rPr>
                  </w:pPr>
                  <w:r>
                    <w:rPr>
                      <w:rFonts w:hint="eastAsia"/>
                      <w:bCs/>
                      <w:color w:val="auto"/>
                      <w:szCs w:val="21"/>
                    </w:rPr>
                    <w:t>污染控制措施</w:t>
                  </w:r>
                </w:p>
              </w:tc>
              <w:tc>
                <w:tcPr>
                  <w:tcW w:w="5715" w:type="dxa"/>
                  <w:vAlign w:val="center"/>
                </w:tcPr>
                <w:p>
                  <w:pPr>
                    <w:autoSpaceDE w:val="0"/>
                    <w:autoSpaceDN w:val="0"/>
                    <w:adjustRightInd w:val="0"/>
                    <w:rPr>
                      <w:bCs/>
                      <w:color w:val="auto"/>
                      <w:szCs w:val="21"/>
                    </w:rPr>
                  </w:pPr>
                  <w:r>
                    <w:rPr>
                      <w:rFonts w:hint="eastAsia"/>
                      <w:bCs/>
                      <w:color w:val="auto"/>
                      <w:szCs w:val="21"/>
                    </w:rPr>
                    <w:t>①为满足变压器事故油的处置需求，本工程变电站已设置满足最大一台主变压器总油量</w:t>
                  </w:r>
                  <w:r>
                    <w:rPr>
                      <w:bCs/>
                      <w:color w:val="auto"/>
                      <w:szCs w:val="21"/>
                    </w:rPr>
                    <w:t>100%</w:t>
                  </w:r>
                  <w:r>
                    <w:rPr>
                      <w:rFonts w:hint="eastAsia"/>
                      <w:bCs/>
                      <w:color w:val="auto"/>
                      <w:szCs w:val="21"/>
                    </w:rPr>
                    <w:t>的事故油池。</w:t>
                  </w:r>
                </w:p>
                <w:p>
                  <w:pPr>
                    <w:autoSpaceDE w:val="0"/>
                    <w:autoSpaceDN w:val="0"/>
                    <w:adjustRightInd w:val="0"/>
                    <w:rPr>
                      <w:bCs/>
                      <w:color w:val="auto"/>
                      <w:szCs w:val="21"/>
                    </w:rPr>
                  </w:pPr>
                  <w:r>
                    <w:rPr>
                      <w:rFonts w:hint="eastAsia"/>
                      <w:bCs/>
                      <w:color w:val="auto"/>
                      <w:szCs w:val="21"/>
                    </w:rPr>
                    <w:t>②为避免可能发生的变压器因安装、事故、检修等造成的漏油情况，废油不得随意处置，必须由具有危险废物处理相应资格的机构妥善处理。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vAlign w:val="center"/>
                </w:tcPr>
                <w:p>
                  <w:pPr>
                    <w:jc w:val="center"/>
                    <w:rPr>
                      <w:bCs/>
                      <w:color w:val="auto"/>
                      <w:szCs w:val="21"/>
                    </w:rPr>
                  </w:pPr>
                  <w:r>
                    <w:rPr>
                      <w:bCs/>
                      <w:color w:val="auto"/>
                      <w:szCs w:val="21"/>
                    </w:rPr>
                    <w:t>5</w:t>
                  </w:r>
                </w:p>
              </w:tc>
              <w:tc>
                <w:tcPr>
                  <w:tcW w:w="851" w:type="dxa"/>
                  <w:vAlign w:val="center"/>
                </w:tcPr>
                <w:p>
                  <w:pPr>
                    <w:jc w:val="center"/>
                    <w:rPr>
                      <w:bCs/>
                      <w:color w:val="auto"/>
                      <w:szCs w:val="21"/>
                    </w:rPr>
                  </w:pPr>
                  <w:r>
                    <w:rPr>
                      <w:rFonts w:hint="eastAsia"/>
                      <w:bCs/>
                      <w:color w:val="auto"/>
                      <w:szCs w:val="21"/>
                    </w:rPr>
                    <w:t>环境管理</w:t>
                  </w:r>
                </w:p>
              </w:tc>
              <w:tc>
                <w:tcPr>
                  <w:tcW w:w="850" w:type="dxa"/>
                  <w:vAlign w:val="center"/>
                </w:tcPr>
                <w:p>
                  <w:pPr>
                    <w:jc w:val="center"/>
                    <w:rPr>
                      <w:bCs/>
                      <w:color w:val="auto"/>
                      <w:szCs w:val="21"/>
                    </w:rPr>
                  </w:pPr>
                  <w:r>
                    <w:rPr>
                      <w:rFonts w:hint="eastAsia"/>
                      <w:bCs/>
                      <w:color w:val="auto"/>
                      <w:szCs w:val="21"/>
                    </w:rPr>
                    <w:t>运行阶段</w:t>
                  </w:r>
                </w:p>
              </w:tc>
              <w:tc>
                <w:tcPr>
                  <w:tcW w:w="851" w:type="dxa"/>
                  <w:vAlign w:val="center"/>
                </w:tcPr>
                <w:p>
                  <w:pPr>
                    <w:jc w:val="center"/>
                    <w:rPr>
                      <w:bCs/>
                      <w:color w:val="auto"/>
                      <w:szCs w:val="21"/>
                    </w:rPr>
                  </w:pPr>
                  <w:r>
                    <w:rPr>
                      <w:rFonts w:hint="eastAsia"/>
                      <w:bCs/>
                      <w:color w:val="auto"/>
                      <w:szCs w:val="21"/>
                    </w:rPr>
                    <w:t>其他环保措施</w:t>
                  </w:r>
                </w:p>
              </w:tc>
              <w:tc>
                <w:tcPr>
                  <w:tcW w:w="5715" w:type="dxa"/>
                  <w:vAlign w:val="center"/>
                </w:tcPr>
                <w:p>
                  <w:pPr>
                    <w:rPr>
                      <w:bCs/>
                      <w:color w:val="auto"/>
                      <w:szCs w:val="21"/>
                    </w:rPr>
                  </w:pPr>
                  <w:r>
                    <w:rPr>
                      <w:rFonts w:hint="eastAsia"/>
                      <w:bCs/>
                      <w:color w:val="auto"/>
                      <w:szCs w:val="21"/>
                    </w:rPr>
                    <w:t>依法进行运行期的环境管理工作。</w:t>
                  </w:r>
                </w:p>
              </w:tc>
            </w:tr>
          </w:tbl>
          <w:p>
            <w:pPr>
              <w:spacing w:line="360" w:lineRule="auto"/>
              <w:ind w:firstLine="570"/>
              <w:rPr>
                <w:bCs/>
                <w:color w:val="auto"/>
                <w:sz w:val="24"/>
              </w:rPr>
            </w:pPr>
            <w:r>
              <w:rPr>
                <w:rFonts w:hint="eastAsia"/>
                <w:bCs/>
                <w:color w:val="auto"/>
                <w:sz w:val="24"/>
              </w:rPr>
              <w:t>由上表可见，工程的设计及运行过程输变电建设项目环境保护技术要求》（</w:t>
            </w:r>
            <w:r>
              <w:rPr>
                <w:bCs/>
                <w:color w:val="auto"/>
                <w:sz w:val="24"/>
              </w:rPr>
              <w:t>HJ1113-2020</w:t>
            </w:r>
            <w:r>
              <w:rPr>
                <w:rFonts w:hint="eastAsia"/>
                <w:bCs/>
                <w:color w:val="auto"/>
                <w:sz w:val="24"/>
              </w:rPr>
              <w:t>）中相关要求。</w:t>
            </w:r>
          </w:p>
          <w:p>
            <w:pPr>
              <w:spacing w:line="360" w:lineRule="auto"/>
              <w:ind w:firstLine="588"/>
              <w:rPr>
                <w:bCs/>
                <w:color w:val="auto"/>
                <w:sz w:val="24"/>
              </w:rPr>
            </w:pPr>
            <w:r>
              <w:rPr>
                <w:rFonts w:hint="eastAsia"/>
                <w:bCs/>
                <w:color w:val="auto"/>
                <w:sz w:val="24"/>
              </w:rPr>
              <w:t>根据《建设项目环境保护管理条例》，本次项目的建设应执行污染治理设施与主体工程同时设计、同时施工、同时投产使用的</w:t>
            </w:r>
            <w:r>
              <w:rPr>
                <w:bCs/>
                <w:color w:val="auto"/>
                <w:sz w:val="24"/>
              </w:rPr>
              <w:t>“</w:t>
            </w:r>
            <w:r>
              <w:rPr>
                <w:rFonts w:hint="eastAsia"/>
                <w:bCs/>
                <w:color w:val="auto"/>
                <w:sz w:val="24"/>
              </w:rPr>
              <w:t>三同时</w:t>
            </w:r>
            <w:r>
              <w:rPr>
                <w:bCs/>
                <w:color w:val="auto"/>
                <w:sz w:val="24"/>
              </w:rPr>
              <w:t>”</w:t>
            </w:r>
            <w:r>
              <w:rPr>
                <w:rFonts w:hint="eastAsia"/>
                <w:bCs/>
                <w:color w:val="auto"/>
                <w:sz w:val="24"/>
              </w:rPr>
              <w:t>制度。本次建设项</w:t>
            </w:r>
            <w:r>
              <w:rPr>
                <w:rFonts w:hint="eastAsia"/>
                <w:bCs/>
                <w:color w:val="auto"/>
                <w:sz w:val="24"/>
                <w:szCs w:val="24"/>
              </w:rPr>
              <w:t>目在环评工作完成</w:t>
            </w:r>
            <w:r>
              <w:rPr>
                <w:rFonts w:hint="eastAsia"/>
                <w:bCs/>
                <w:color w:val="auto"/>
                <w:sz w:val="24"/>
              </w:rPr>
              <w:t>后，应尽快根据国家现行相关验收要求自主组织竣工验收，竣工环境保护验收内容见下表。</w:t>
            </w:r>
          </w:p>
          <w:p>
            <w:pPr>
              <w:spacing w:line="360" w:lineRule="auto"/>
              <w:ind w:firstLine="517" w:firstLineChars="245"/>
              <w:jc w:val="center"/>
              <w:rPr>
                <w:b/>
                <w:bCs/>
                <w:color w:val="auto"/>
                <w:szCs w:val="21"/>
              </w:rPr>
            </w:pPr>
            <w:bookmarkStart w:id="39" w:name="_Ref35435443"/>
            <w:r>
              <w:rPr>
                <w:rFonts w:hint="eastAsia"/>
                <w:b/>
                <w:bCs/>
                <w:color w:val="auto"/>
                <w:szCs w:val="21"/>
              </w:rPr>
              <w:t>表</w:t>
            </w:r>
            <w:bookmarkEnd w:id="39"/>
            <w:r>
              <w:rPr>
                <w:b/>
                <w:bCs/>
                <w:color w:val="auto"/>
                <w:szCs w:val="21"/>
              </w:rPr>
              <w:t xml:space="preserve">7-4   </w:t>
            </w:r>
            <w:r>
              <w:rPr>
                <w:rFonts w:hint="eastAsia"/>
                <w:b/>
                <w:bCs/>
                <w:color w:val="auto"/>
                <w:szCs w:val="21"/>
              </w:rPr>
              <w:t>工程竣工环境保护验收一览表</w:t>
            </w:r>
          </w:p>
          <w:tbl>
            <w:tblPr>
              <w:tblStyle w:val="86"/>
              <w:tblW w:w="883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0"/>
              <w:gridCol w:w="1024"/>
              <w:gridCol w:w="11"/>
              <w:gridCol w:w="1801"/>
              <w:gridCol w:w="54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4" w:hRule="atLeast"/>
                <w:tblHeader/>
                <w:jc w:val="center"/>
              </w:trPr>
              <w:tc>
                <w:tcPr>
                  <w:tcW w:w="560" w:type="dxa"/>
                  <w:vAlign w:val="center"/>
                </w:tcPr>
                <w:p>
                  <w:pPr>
                    <w:overflowPunct w:val="0"/>
                    <w:adjustRightInd w:val="0"/>
                    <w:snapToGrid w:val="0"/>
                    <w:jc w:val="center"/>
                    <w:textAlignment w:val="baseline"/>
                    <w:rPr>
                      <w:snapToGrid w:val="0"/>
                      <w:color w:val="auto"/>
                      <w:kern w:val="0"/>
                      <w:szCs w:val="21"/>
                    </w:rPr>
                  </w:pPr>
                  <w:r>
                    <w:rPr>
                      <w:rFonts w:hint="eastAsia"/>
                      <w:snapToGrid w:val="0"/>
                      <w:color w:val="auto"/>
                      <w:kern w:val="0"/>
                      <w:szCs w:val="21"/>
                    </w:rPr>
                    <w:t>序号</w:t>
                  </w:r>
                </w:p>
              </w:tc>
              <w:tc>
                <w:tcPr>
                  <w:tcW w:w="2836" w:type="dxa"/>
                  <w:gridSpan w:val="3"/>
                  <w:vAlign w:val="center"/>
                </w:tcPr>
                <w:p>
                  <w:pPr>
                    <w:overflowPunct w:val="0"/>
                    <w:adjustRightInd w:val="0"/>
                    <w:snapToGrid w:val="0"/>
                    <w:jc w:val="center"/>
                    <w:textAlignment w:val="baseline"/>
                    <w:rPr>
                      <w:snapToGrid w:val="0"/>
                      <w:color w:val="auto"/>
                      <w:kern w:val="0"/>
                      <w:szCs w:val="21"/>
                    </w:rPr>
                  </w:pPr>
                  <w:r>
                    <w:rPr>
                      <w:rFonts w:hint="eastAsia"/>
                      <w:snapToGrid w:val="0"/>
                      <w:color w:val="auto"/>
                      <w:kern w:val="0"/>
                      <w:szCs w:val="21"/>
                    </w:rPr>
                    <w:t>验收对象</w:t>
                  </w:r>
                </w:p>
              </w:tc>
              <w:tc>
                <w:tcPr>
                  <w:tcW w:w="5434" w:type="dxa"/>
                  <w:vAlign w:val="center"/>
                </w:tcPr>
                <w:p>
                  <w:pPr>
                    <w:overflowPunct w:val="0"/>
                    <w:adjustRightInd w:val="0"/>
                    <w:snapToGrid w:val="0"/>
                    <w:jc w:val="center"/>
                    <w:textAlignment w:val="baseline"/>
                    <w:rPr>
                      <w:snapToGrid w:val="0"/>
                      <w:color w:val="auto"/>
                      <w:kern w:val="0"/>
                      <w:szCs w:val="21"/>
                    </w:rPr>
                  </w:pPr>
                  <w:r>
                    <w:rPr>
                      <w:rFonts w:hint="eastAsia"/>
                      <w:snapToGrid w:val="0"/>
                      <w:color w:val="auto"/>
                      <w:kern w:val="0"/>
                      <w:szCs w:val="21"/>
                    </w:rPr>
                    <w:t>验收内容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5" w:hRule="atLeast"/>
                <w:jc w:val="center"/>
              </w:trPr>
              <w:tc>
                <w:tcPr>
                  <w:tcW w:w="560" w:type="dxa"/>
                  <w:vAlign w:val="center"/>
                </w:tcPr>
                <w:p>
                  <w:pPr>
                    <w:overflowPunct w:val="0"/>
                    <w:adjustRightInd w:val="0"/>
                    <w:snapToGrid w:val="0"/>
                    <w:jc w:val="center"/>
                    <w:textAlignment w:val="baseline"/>
                    <w:rPr>
                      <w:snapToGrid w:val="0"/>
                      <w:color w:val="auto"/>
                      <w:kern w:val="0"/>
                      <w:szCs w:val="21"/>
                    </w:rPr>
                  </w:pPr>
                  <w:r>
                    <w:rPr>
                      <w:snapToGrid w:val="0"/>
                      <w:color w:val="auto"/>
                      <w:kern w:val="0"/>
                      <w:szCs w:val="21"/>
                    </w:rPr>
                    <w:t>1</w:t>
                  </w:r>
                </w:p>
              </w:tc>
              <w:tc>
                <w:tcPr>
                  <w:tcW w:w="2836" w:type="dxa"/>
                  <w:gridSpan w:val="3"/>
                  <w:vAlign w:val="center"/>
                </w:tcPr>
                <w:p>
                  <w:pPr>
                    <w:overflowPunct w:val="0"/>
                    <w:adjustRightInd w:val="0"/>
                    <w:snapToGrid w:val="0"/>
                    <w:jc w:val="center"/>
                    <w:textAlignment w:val="baseline"/>
                    <w:rPr>
                      <w:snapToGrid w:val="0"/>
                      <w:color w:val="auto"/>
                      <w:kern w:val="0"/>
                      <w:szCs w:val="21"/>
                    </w:rPr>
                  </w:pPr>
                  <w:r>
                    <w:rPr>
                      <w:rFonts w:hint="eastAsia"/>
                      <w:snapToGrid w:val="0"/>
                      <w:color w:val="auto"/>
                      <w:kern w:val="0"/>
                      <w:szCs w:val="21"/>
                    </w:rPr>
                    <w:t>相关资料、手续</w:t>
                  </w:r>
                </w:p>
              </w:tc>
              <w:tc>
                <w:tcPr>
                  <w:tcW w:w="5434" w:type="dxa"/>
                  <w:vAlign w:val="center"/>
                </w:tcPr>
                <w:p>
                  <w:pPr>
                    <w:overflowPunct w:val="0"/>
                    <w:adjustRightInd w:val="0"/>
                    <w:snapToGrid w:val="0"/>
                    <w:textAlignment w:val="baseline"/>
                    <w:rPr>
                      <w:snapToGrid w:val="0"/>
                      <w:color w:val="auto"/>
                      <w:kern w:val="0"/>
                      <w:szCs w:val="21"/>
                    </w:rPr>
                  </w:pPr>
                  <w:r>
                    <w:rPr>
                      <w:rFonts w:hint="eastAsia"/>
                      <w:snapToGrid w:val="0"/>
                      <w:color w:val="auto"/>
                      <w:kern w:val="0"/>
                      <w:szCs w:val="21"/>
                    </w:rPr>
                    <w:t>项目相关环境保护档案是否齐全。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8" w:hRule="atLeast"/>
                <w:jc w:val="center"/>
              </w:trPr>
              <w:tc>
                <w:tcPr>
                  <w:tcW w:w="560" w:type="dxa"/>
                  <w:vAlign w:val="center"/>
                </w:tcPr>
                <w:p>
                  <w:pPr>
                    <w:overflowPunct w:val="0"/>
                    <w:adjustRightInd w:val="0"/>
                    <w:snapToGrid w:val="0"/>
                    <w:jc w:val="center"/>
                    <w:textAlignment w:val="baseline"/>
                    <w:rPr>
                      <w:snapToGrid w:val="0"/>
                      <w:color w:val="auto"/>
                      <w:kern w:val="0"/>
                      <w:szCs w:val="21"/>
                    </w:rPr>
                  </w:pPr>
                  <w:r>
                    <w:rPr>
                      <w:snapToGrid w:val="0"/>
                      <w:color w:val="auto"/>
                      <w:kern w:val="0"/>
                      <w:szCs w:val="21"/>
                    </w:rPr>
                    <w:t>2</w:t>
                  </w:r>
                </w:p>
              </w:tc>
              <w:tc>
                <w:tcPr>
                  <w:tcW w:w="1024" w:type="dxa"/>
                  <w:vAlign w:val="center"/>
                </w:tcPr>
                <w:p>
                  <w:pPr>
                    <w:overflowPunct w:val="0"/>
                    <w:adjustRightInd w:val="0"/>
                    <w:snapToGrid w:val="0"/>
                    <w:jc w:val="center"/>
                    <w:textAlignment w:val="baseline"/>
                    <w:rPr>
                      <w:snapToGrid w:val="0"/>
                      <w:color w:val="auto"/>
                      <w:kern w:val="0"/>
                      <w:szCs w:val="21"/>
                    </w:rPr>
                  </w:pPr>
                  <w:r>
                    <w:rPr>
                      <w:rFonts w:hint="eastAsia"/>
                      <w:snapToGrid w:val="0"/>
                      <w:color w:val="auto"/>
                      <w:kern w:val="0"/>
                      <w:szCs w:val="21"/>
                    </w:rPr>
                    <w:t>环保设施落实情况</w:t>
                  </w:r>
                </w:p>
              </w:tc>
              <w:tc>
                <w:tcPr>
                  <w:tcW w:w="1812" w:type="dxa"/>
                  <w:gridSpan w:val="2"/>
                  <w:vAlign w:val="center"/>
                </w:tcPr>
                <w:p>
                  <w:pPr>
                    <w:overflowPunct w:val="0"/>
                    <w:adjustRightInd w:val="0"/>
                    <w:snapToGrid w:val="0"/>
                    <w:jc w:val="center"/>
                    <w:textAlignment w:val="baseline"/>
                    <w:rPr>
                      <w:snapToGrid w:val="0"/>
                      <w:color w:val="auto"/>
                      <w:kern w:val="0"/>
                      <w:szCs w:val="21"/>
                    </w:rPr>
                  </w:pPr>
                  <w:r>
                    <w:rPr>
                      <w:rFonts w:hint="eastAsia"/>
                      <w:snapToGrid w:val="0"/>
                      <w:color w:val="auto"/>
                      <w:kern w:val="0"/>
                      <w:szCs w:val="21"/>
                    </w:rPr>
                    <w:t>电磁环境、固废</w:t>
                  </w:r>
                </w:p>
              </w:tc>
              <w:tc>
                <w:tcPr>
                  <w:tcW w:w="5434" w:type="dxa"/>
                  <w:vAlign w:val="center"/>
                </w:tcPr>
                <w:p>
                  <w:pPr>
                    <w:overflowPunct w:val="0"/>
                    <w:adjustRightInd w:val="0"/>
                    <w:snapToGrid w:val="0"/>
                    <w:spacing w:before="100" w:beforeAutospacing="1" w:after="100" w:afterAutospacing="1"/>
                    <w:textAlignment w:val="baseline"/>
                    <w:rPr>
                      <w:snapToGrid w:val="0"/>
                      <w:color w:val="auto"/>
                      <w:kern w:val="0"/>
                      <w:szCs w:val="21"/>
                    </w:rPr>
                  </w:pPr>
                  <w:r>
                    <w:rPr>
                      <w:rFonts w:hint="eastAsia"/>
                      <w:snapToGrid w:val="0"/>
                      <w:color w:val="auto"/>
                      <w:kern w:val="0"/>
                      <w:szCs w:val="21"/>
                    </w:rPr>
                    <w:t>对周围环境产生的电磁场是否达到国家相关标准要求；事故油池满足最大单台设备油量</w:t>
                  </w:r>
                  <w:r>
                    <w:rPr>
                      <w:snapToGrid w:val="0"/>
                      <w:color w:val="auto"/>
                      <w:kern w:val="0"/>
                      <w:szCs w:val="21"/>
                    </w:rPr>
                    <w:t>100%</w:t>
                  </w:r>
                  <w:r>
                    <w:rPr>
                      <w:rFonts w:hint="eastAsia"/>
                      <w:snapToGrid w:val="0"/>
                      <w:color w:val="auto"/>
                      <w:kern w:val="0"/>
                      <w:szCs w:val="21"/>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560" w:type="dxa"/>
                  <w:vAlign w:val="center"/>
                </w:tcPr>
                <w:p>
                  <w:pPr>
                    <w:overflowPunct w:val="0"/>
                    <w:adjustRightInd w:val="0"/>
                    <w:snapToGrid w:val="0"/>
                    <w:jc w:val="center"/>
                    <w:textAlignment w:val="baseline"/>
                    <w:rPr>
                      <w:snapToGrid w:val="0"/>
                      <w:color w:val="auto"/>
                      <w:kern w:val="0"/>
                      <w:szCs w:val="21"/>
                    </w:rPr>
                  </w:pPr>
                  <w:r>
                    <w:rPr>
                      <w:snapToGrid w:val="0"/>
                      <w:color w:val="auto"/>
                      <w:kern w:val="0"/>
                      <w:szCs w:val="21"/>
                    </w:rPr>
                    <w:t>3</w:t>
                  </w:r>
                </w:p>
              </w:tc>
              <w:tc>
                <w:tcPr>
                  <w:tcW w:w="2836" w:type="dxa"/>
                  <w:gridSpan w:val="3"/>
                  <w:vAlign w:val="center"/>
                </w:tcPr>
                <w:p>
                  <w:pPr>
                    <w:overflowPunct w:val="0"/>
                    <w:adjustRightInd w:val="0"/>
                    <w:snapToGrid w:val="0"/>
                    <w:jc w:val="center"/>
                    <w:textAlignment w:val="baseline"/>
                    <w:rPr>
                      <w:snapToGrid w:val="0"/>
                      <w:color w:val="auto"/>
                      <w:kern w:val="0"/>
                      <w:szCs w:val="21"/>
                    </w:rPr>
                  </w:pPr>
                  <w:r>
                    <w:rPr>
                      <w:rFonts w:hint="eastAsia"/>
                      <w:snapToGrid w:val="0"/>
                      <w:color w:val="auto"/>
                      <w:kern w:val="0"/>
                      <w:szCs w:val="21"/>
                    </w:rPr>
                    <w:t>环境保护设施安装质量</w:t>
                  </w:r>
                </w:p>
              </w:tc>
              <w:tc>
                <w:tcPr>
                  <w:tcW w:w="5434" w:type="dxa"/>
                  <w:vAlign w:val="center"/>
                </w:tcPr>
                <w:p>
                  <w:pPr>
                    <w:overflowPunct w:val="0"/>
                    <w:adjustRightInd w:val="0"/>
                    <w:snapToGrid w:val="0"/>
                    <w:textAlignment w:val="baseline"/>
                    <w:rPr>
                      <w:snapToGrid w:val="0"/>
                      <w:color w:val="auto"/>
                      <w:kern w:val="0"/>
                      <w:szCs w:val="21"/>
                    </w:rPr>
                  </w:pPr>
                  <w:r>
                    <w:rPr>
                      <w:rFonts w:hint="eastAsia"/>
                      <w:snapToGrid w:val="0"/>
                      <w:color w:val="auto"/>
                      <w:kern w:val="0"/>
                      <w:szCs w:val="21"/>
                    </w:rPr>
                    <w:t>环境保护设施安装质量是否符合国家和有关部门规定，包括电磁环境保护设施、声环境保护设施。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560" w:type="dxa"/>
                  <w:vAlign w:val="center"/>
                </w:tcPr>
                <w:p>
                  <w:pPr>
                    <w:overflowPunct w:val="0"/>
                    <w:adjustRightInd w:val="0"/>
                    <w:snapToGrid w:val="0"/>
                    <w:jc w:val="center"/>
                    <w:textAlignment w:val="baseline"/>
                    <w:rPr>
                      <w:snapToGrid w:val="0"/>
                      <w:color w:val="auto"/>
                      <w:kern w:val="0"/>
                      <w:szCs w:val="21"/>
                    </w:rPr>
                  </w:pPr>
                  <w:r>
                    <w:rPr>
                      <w:snapToGrid w:val="0"/>
                      <w:color w:val="auto"/>
                      <w:kern w:val="0"/>
                      <w:szCs w:val="21"/>
                    </w:rPr>
                    <w:t>4</w:t>
                  </w:r>
                </w:p>
              </w:tc>
              <w:tc>
                <w:tcPr>
                  <w:tcW w:w="2836" w:type="dxa"/>
                  <w:gridSpan w:val="3"/>
                  <w:vAlign w:val="center"/>
                </w:tcPr>
                <w:p>
                  <w:pPr>
                    <w:overflowPunct w:val="0"/>
                    <w:adjustRightInd w:val="0"/>
                    <w:snapToGrid w:val="0"/>
                    <w:jc w:val="center"/>
                    <w:textAlignment w:val="baseline"/>
                    <w:rPr>
                      <w:snapToGrid w:val="0"/>
                      <w:color w:val="auto"/>
                      <w:kern w:val="0"/>
                      <w:szCs w:val="21"/>
                    </w:rPr>
                  </w:pPr>
                  <w:r>
                    <w:rPr>
                      <w:rFonts w:hint="eastAsia"/>
                      <w:snapToGrid w:val="0"/>
                      <w:color w:val="auto"/>
                      <w:kern w:val="0"/>
                      <w:szCs w:val="21"/>
                    </w:rPr>
                    <w:t>环境保护设施正常运转条件</w:t>
                  </w:r>
                </w:p>
              </w:tc>
              <w:tc>
                <w:tcPr>
                  <w:tcW w:w="5434" w:type="dxa"/>
                  <w:vAlign w:val="center"/>
                </w:tcPr>
                <w:p>
                  <w:pPr>
                    <w:overflowPunct w:val="0"/>
                    <w:adjustRightInd w:val="0"/>
                    <w:snapToGrid w:val="0"/>
                    <w:textAlignment w:val="baseline"/>
                    <w:rPr>
                      <w:snapToGrid w:val="0"/>
                      <w:color w:val="auto"/>
                      <w:kern w:val="0"/>
                      <w:szCs w:val="21"/>
                    </w:rPr>
                  </w:pPr>
                  <w:r>
                    <w:rPr>
                      <w:rFonts w:hint="eastAsia"/>
                      <w:snapToGrid w:val="0"/>
                      <w:color w:val="auto"/>
                      <w:kern w:val="0"/>
                      <w:szCs w:val="21"/>
                    </w:rPr>
                    <w:t>各项环保设施是否有合格的操作人员、操作制度。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0" w:hRule="atLeast"/>
                <w:jc w:val="center"/>
              </w:trPr>
              <w:tc>
                <w:tcPr>
                  <w:tcW w:w="560" w:type="dxa"/>
                  <w:vMerge w:val="restart"/>
                  <w:vAlign w:val="center"/>
                </w:tcPr>
                <w:p>
                  <w:pPr>
                    <w:overflowPunct w:val="0"/>
                    <w:adjustRightInd w:val="0"/>
                    <w:snapToGrid w:val="0"/>
                    <w:jc w:val="center"/>
                    <w:textAlignment w:val="baseline"/>
                    <w:rPr>
                      <w:snapToGrid w:val="0"/>
                      <w:color w:val="auto"/>
                      <w:kern w:val="0"/>
                      <w:szCs w:val="21"/>
                    </w:rPr>
                  </w:pPr>
                  <w:r>
                    <w:rPr>
                      <w:snapToGrid w:val="0"/>
                      <w:color w:val="auto"/>
                      <w:kern w:val="0"/>
                      <w:szCs w:val="21"/>
                    </w:rPr>
                    <w:t>5</w:t>
                  </w:r>
                </w:p>
              </w:tc>
              <w:tc>
                <w:tcPr>
                  <w:tcW w:w="1035" w:type="dxa"/>
                  <w:gridSpan w:val="2"/>
                  <w:vMerge w:val="restart"/>
                  <w:vAlign w:val="center"/>
                </w:tcPr>
                <w:p>
                  <w:pPr>
                    <w:overflowPunct w:val="0"/>
                    <w:adjustRightInd w:val="0"/>
                    <w:snapToGrid w:val="0"/>
                    <w:jc w:val="center"/>
                    <w:textAlignment w:val="baseline"/>
                    <w:rPr>
                      <w:snapToGrid w:val="0"/>
                      <w:color w:val="auto"/>
                      <w:kern w:val="0"/>
                      <w:szCs w:val="21"/>
                    </w:rPr>
                  </w:pPr>
                  <w:r>
                    <w:rPr>
                      <w:rFonts w:hint="eastAsia"/>
                      <w:snapToGrid w:val="0"/>
                      <w:color w:val="auto"/>
                      <w:kern w:val="0"/>
                      <w:szCs w:val="21"/>
                    </w:rPr>
                    <w:t>污染物排放</w:t>
                  </w:r>
                </w:p>
              </w:tc>
              <w:tc>
                <w:tcPr>
                  <w:tcW w:w="1801" w:type="dxa"/>
                  <w:vAlign w:val="center"/>
                </w:tcPr>
                <w:p>
                  <w:pPr>
                    <w:overflowPunct w:val="0"/>
                    <w:adjustRightInd w:val="0"/>
                    <w:snapToGrid w:val="0"/>
                    <w:jc w:val="center"/>
                    <w:textAlignment w:val="baseline"/>
                    <w:rPr>
                      <w:snapToGrid w:val="0"/>
                      <w:color w:val="auto"/>
                      <w:kern w:val="0"/>
                      <w:szCs w:val="21"/>
                    </w:rPr>
                  </w:pPr>
                  <w:r>
                    <w:rPr>
                      <w:rFonts w:hint="eastAsia"/>
                      <w:snapToGrid w:val="0"/>
                      <w:color w:val="auto"/>
                      <w:kern w:val="0"/>
                      <w:szCs w:val="21"/>
                    </w:rPr>
                    <w:t>工频电场、工频磁感应强度</w:t>
                  </w:r>
                </w:p>
              </w:tc>
              <w:tc>
                <w:tcPr>
                  <w:tcW w:w="5434" w:type="dxa"/>
                  <w:vAlign w:val="center"/>
                </w:tcPr>
                <w:p>
                  <w:pPr>
                    <w:overflowPunct w:val="0"/>
                    <w:adjustRightInd w:val="0"/>
                    <w:snapToGrid w:val="0"/>
                    <w:textAlignment w:val="baseline"/>
                    <w:rPr>
                      <w:snapToGrid w:val="0"/>
                      <w:color w:val="auto"/>
                      <w:kern w:val="0"/>
                      <w:szCs w:val="21"/>
                    </w:rPr>
                  </w:pPr>
                  <w:r>
                    <w:rPr>
                      <w:rFonts w:hint="eastAsia"/>
                      <w:snapToGrid w:val="0"/>
                      <w:color w:val="auto"/>
                      <w:kern w:val="0"/>
                      <w:szCs w:val="21"/>
                    </w:rPr>
                    <w:t>周围工频电场、工频磁感应强度是否满足</w:t>
                  </w:r>
                  <w:r>
                    <w:rPr>
                      <w:snapToGrid w:val="0"/>
                      <w:color w:val="auto"/>
                      <w:kern w:val="0"/>
                      <w:szCs w:val="21"/>
                    </w:rPr>
                    <w:t>4000V/m</w:t>
                  </w:r>
                  <w:r>
                    <w:rPr>
                      <w:rFonts w:hint="eastAsia"/>
                      <w:snapToGrid w:val="0"/>
                      <w:color w:val="auto"/>
                      <w:kern w:val="0"/>
                      <w:szCs w:val="21"/>
                    </w:rPr>
                    <w:t>、</w:t>
                  </w:r>
                  <w:r>
                    <w:rPr>
                      <w:snapToGrid w:val="0"/>
                      <w:color w:val="auto"/>
                      <w:kern w:val="0"/>
                      <w:szCs w:val="21"/>
                    </w:rPr>
                    <w:t>100μT</w:t>
                  </w:r>
                  <w:r>
                    <w:rPr>
                      <w:rFonts w:hint="eastAsia"/>
                      <w:snapToGrid w:val="0"/>
                      <w:color w:val="auto"/>
                      <w:kern w:val="0"/>
                      <w:szCs w:val="21"/>
                    </w:rPr>
                    <w:t>的标准要求。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560" w:type="dxa"/>
                  <w:vMerge w:val="continue"/>
                  <w:vAlign w:val="center"/>
                </w:tcPr>
                <w:p>
                  <w:pPr>
                    <w:overflowPunct w:val="0"/>
                    <w:adjustRightInd w:val="0"/>
                    <w:snapToGrid w:val="0"/>
                    <w:jc w:val="center"/>
                    <w:textAlignment w:val="baseline"/>
                    <w:rPr>
                      <w:snapToGrid w:val="0"/>
                      <w:color w:val="auto"/>
                      <w:kern w:val="0"/>
                      <w:szCs w:val="21"/>
                    </w:rPr>
                  </w:pPr>
                </w:p>
              </w:tc>
              <w:tc>
                <w:tcPr>
                  <w:tcW w:w="1035" w:type="dxa"/>
                  <w:gridSpan w:val="2"/>
                  <w:vMerge w:val="continue"/>
                  <w:vAlign w:val="center"/>
                </w:tcPr>
                <w:p>
                  <w:pPr>
                    <w:overflowPunct w:val="0"/>
                    <w:adjustRightInd w:val="0"/>
                    <w:snapToGrid w:val="0"/>
                    <w:jc w:val="center"/>
                    <w:textAlignment w:val="baseline"/>
                    <w:rPr>
                      <w:snapToGrid w:val="0"/>
                      <w:color w:val="auto"/>
                      <w:kern w:val="0"/>
                      <w:szCs w:val="21"/>
                    </w:rPr>
                  </w:pPr>
                </w:p>
              </w:tc>
              <w:tc>
                <w:tcPr>
                  <w:tcW w:w="1801" w:type="dxa"/>
                  <w:vAlign w:val="center"/>
                </w:tcPr>
                <w:p>
                  <w:pPr>
                    <w:overflowPunct w:val="0"/>
                    <w:adjustRightInd w:val="0"/>
                    <w:snapToGrid w:val="0"/>
                    <w:jc w:val="center"/>
                    <w:textAlignment w:val="baseline"/>
                    <w:rPr>
                      <w:snapToGrid w:val="0"/>
                      <w:color w:val="auto"/>
                      <w:kern w:val="0"/>
                      <w:szCs w:val="21"/>
                    </w:rPr>
                  </w:pPr>
                  <w:r>
                    <w:rPr>
                      <w:rFonts w:hint="eastAsia"/>
                      <w:snapToGrid w:val="0"/>
                      <w:color w:val="auto"/>
                      <w:kern w:val="0"/>
                      <w:szCs w:val="21"/>
                    </w:rPr>
                    <w:t>噪声</w:t>
                  </w:r>
                </w:p>
              </w:tc>
              <w:tc>
                <w:tcPr>
                  <w:tcW w:w="5434" w:type="dxa"/>
                  <w:vAlign w:val="center"/>
                </w:tcPr>
                <w:p>
                  <w:pPr>
                    <w:rPr>
                      <w:snapToGrid w:val="0"/>
                      <w:color w:val="auto"/>
                      <w:kern w:val="0"/>
                      <w:szCs w:val="21"/>
                    </w:rPr>
                  </w:pPr>
                  <w:r>
                    <w:rPr>
                      <w:rFonts w:hint="eastAsia"/>
                      <w:color w:val="auto"/>
                      <w:szCs w:val="21"/>
                    </w:rPr>
                    <w:t>满足《工业企业厂界环境噪声排放标准》（</w:t>
                  </w:r>
                  <w:r>
                    <w:rPr>
                      <w:color w:val="auto"/>
                      <w:szCs w:val="21"/>
                    </w:rPr>
                    <w:t>GB12348-2008</w:t>
                  </w:r>
                  <w:r>
                    <w:rPr>
                      <w:rFonts w:hint="eastAsia"/>
                      <w:color w:val="auto"/>
                      <w:szCs w:val="21"/>
                    </w:rPr>
                    <w:t>）中</w:t>
                  </w:r>
                  <w:r>
                    <w:rPr>
                      <w:color w:val="auto"/>
                      <w:szCs w:val="21"/>
                    </w:rPr>
                    <w:t>2</w:t>
                  </w:r>
                  <w:r>
                    <w:rPr>
                      <w:rFonts w:hint="eastAsia"/>
                      <w:color w:val="auto"/>
                      <w:szCs w:val="21"/>
                    </w:rPr>
                    <w:t>类标准要求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560" w:type="dxa"/>
                  <w:vAlign w:val="center"/>
                </w:tcPr>
                <w:p>
                  <w:pPr>
                    <w:overflowPunct w:val="0"/>
                    <w:adjustRightInd w:val="0"/>
                    <w:snapToGrid w:val="0"/>
                    <w:jc w:val="center"/>
                    <w:textAlignment w:val="baseline"/>
                    <w:rPr>
                      <w:snapToGrid w:val="0"/>
                      <w:color w:val="auto"/>
                      <w:kern w:val="0"/>
                      <w:szCs w:val="21"/>
                    </w:rPr>
                  </w:pPr>
                  <w:r>
                    <w:rPr>
                      <w:snapToGrid w:val="0"/>
                      <w:color w:val="auto"/>
                      <w:kern w:val="0"/>
                      <w:szCs w:val="21"/>
                    </w:rPr>
                    <w:t>6</w:t>
                  </w:r>
                </w:p>
              </w:tc>
              <w:tc>
                <w:tcPr>
                  <w:tcW w:w="2836" w:type="dxa"/>
                  <w:gridSpan w:val="3"/>
                  <w:vAlign w:val="center"/>
                </w:tcPr>
                <w:p>
                  <w:pPr>
                    <w:overflowPunct w:val="0"/>
                    <w:adjustRightInd w:val="0"/>
                    <w:snapToGrid w:val="0"/>
                    <w:textAlignment w:val="baseline"/>
                    <w:rPr>
                      <w:snapToGrid w:val="0"/>
                      <w:color w:val="auto"/>
                      <w:kern w:val="0"/>
                      <w:szCs w:val="21"/>
                    </w:rPr>
                  </w:pPr>
                  <w:r>
                    <w:rPr>
                      <w:rFonts w:hint="eastAsia"/>
                      <w:snapToGrid w:val="0"/>
                      <w:color w:val="auto"/>
                      <w:kern w:val="0"/>
                      <w:szCs w:val="21"/>
                    </w:rPr>
                    <w:t>废油、废旧铅酸电池处置</w:t>
                  </w:r>
                </w:p>
              </w:tc>
              <w:tc>
                <w:tcPr>
                  <w:tcW w:w="5434" w:type="dxa"/>
                  <w:vAlign w:val="center"/>
                </w:tcPr>
                <w:p>
                  <w:pPr>
                    <w:overflowPunct w:val="0"/>
                    <w:adjustRightInd w:val="0"/>
                    <w:snapToGrid w:val="0"/>
                    <w:textAlignment w:val="baseline"/>
                    <w:rPr>
                      <w:snapToGrid w:val="0"/>
                      <w:color w:val="auto"/>
                      <w:kern w:val="0"/>
                      <w:szCs w:val="21"/>
                    </w:rPr>
                  </w:pPr>
                  <w:r>
                    <w:rPr>
                      <w:rFonts w:hint="eastAsia"/>
                      <w:snapToGrid w:val="0"/>
                      <w:color w:val="auto"/>
                      <w:kern w:val="0"/>
                      <w:szCs w:val="21"/>
                    </w:rPr>
                    <w:t>是否由有资质单位进行回收</w:t>
                  </w:r>
                </w:p>
              </w:tc>
            </w:tr>
          </w:tbl>
          <w:p>
            <w:pPr>
              <w:spacing w:line="440" w:lineRule="exact"/>
              <w:jc w:val="left"/>
              <w:rPr>
                <w:b/>
                <w:color w:val="auto"/>
                <w:sz w:val="24"/>
              </w:rPr>
            </w:pPr>
            <w:r>
              <w:rPr>
                <w:b/>
                <w:color w:val="auto"/>
                <w:sz w:val="24"/>
              </w:rPr>
              <w:t>7.5</w:t>
            </w:r>
            <w:r>
              <w:rPr>
                <w:rFonts w:hint="eastAsia"/>
                <w:b/>
                <w:color w:val="auto"/>
                <w:sz w:val="24"/>
              </w:rPr>
              <w:t>环境管理与监测计划</w:t>
            </w:r>
          </w:p>
          <w:p>
            <w:pPr>
              <w:spacing w:line="360" w:lineRule="auto"/>
              <w:jc w:val="left"/>
              <w:rPr>
                <w:b/>
                <w:color w:val="auto"/>
                <w:sz w:val="24"/>
              </w:rPr>
            </w:pPr>
            <w:r>
              <w:rPr>
                <w:b/>
                <w:color w:val="auto"/>
                <w:sz w:val="24"/>
              </w:rPr>
              <w:t>7.5.1</w:t>
            </w:r>
            <w:r>
              <w:rPr>
                <w:rFonts w:hint="eastAsia"/>
                <w:b/>
                <w:color w:val="auto"/>
                <w:sz w:val="24"/>
              </w:rPr>
              <w:t>环境管理</w:t>
            </w:r>
          </w:p>
          <w:p>
            <w:pPr>
              <w:spacing w:line="360" w:lineRule="auto"/>
              <w:ind w:firstLine="588" w:firstLineChars="245"/>
              <w:rPr>
                <w:bCs/>
                <w:color w:val="auto"/>
                <w:sz w:val="24"/>
                <w:szCs w:val="24"/>
              </w:rPr>
            </w:pPr>
            <w:r>
              <w:rPr>
                <w:rFonts w:hint="eastAsia"/>
                <w:bCs/>
                <w:color w:val="auto"/>
                <w:sz w:val="24"/>
                <w:szCs w:val="24"/>
              </w:rPr>
              <w:t>建设单位或运行单位在管理机构内配备必要的专职或兼职人员，负责环境保护管理工作。本工程在运行期宜使用原有环境管理部门，环保管理人员应在各自的岗位责任制中明确所负的环保责任。监督国家法规、条例的贯彻执行情况，制订和贯彻环保管理制度，监控本工程主要污染源，对各部门、操作岗位进行环境保护监督和考核。环境管理的职能为：</w:t>
            </w:r>
          </w:p>
          <w:p>
            <w:pPr>
              <w:spacing w:line="360" w:lineRule="auto"/>
              <w:ind w:firstLine="588" w:firstLineChars="245"/>
              <w:jc w:val="left"/>
              <w:rPr>
                <w:bCs/>
                <w:color w:val="auto"/>
                <w:sz w:val="24"/>
                <w:szCs w:val="24"/>
              </w:rPr>
            </w:pPr>
            <w:r>
              <w:rPr>
                <w:rFonts w:hint="eastAsia"/>
                <w:bCs/>
                <w:color w:val="auto"/>
                <w:sz w:val="24"/>
                <w:szCs w:val="24"/>
              </w:rPr>
              <w:t>（</w:t>
            </w:r>
            <w:r>
              <w:rPr>
                <w:bCs/>
                <w:color w:val="auto"/>
                <w:sz w:val="24"/>
                <w:szCs w:val="24"/>
              </w:rPr>
              <w:t>1</w:t>
            </w:r>
            <w:r>
              <w:rPr>
                <w:rFonts w:hint="eastAsia"/>
                <w:bCs/>
                <w:color w:val="auto"/>
                <w:sz w:val="24"/>
                <w:szCs w:val="24"/>
              </w:rPr>
              <w:t>）制订和实施各项环境管理计划。</w:t>
            </w:r>
          </w:p>
          <w:p>
            <w:pPr>
              <w:spacing w:line="360" w:lineRule="auto"/>
              <w:ind w:firstLine="588" w:firstLineChars="245"/>
              <w:jc w:val="left"/>
              <w:rPr>
                <w:bCs/>
                <w:color w:val="auto"/>
                <w:sz w:val="24"/>
                <w:szCs w:val="24"/>
              </w:rPr>
            </w:pPr>
            <w:r>
              <w:rPr>
                <w:rFonts w:hint="eastAsia"/>
                <w:bCs/>
                <w:color w:val="auto"/>
                <w:sz w:val="24"/>
                <w:szCs w:val="24"/>
              </w:rPr>
              <w:t>（</w:t>
            </w:r>
            <w:r>
              <w:rPr>
                <w:bCs/>
                <w:color w:val="auto"/>
                <w:sz w:val="24"/>
                <w:szCs w:val="24"/>
              </w:rPr>
              <w:t>2</w:t>
            </w:r>
            <w:r>
              <w:rPr>
                <w:rFonts w:hint="eastAsia"/>
                <w:bCs/>
                <w:color w:val="auto"/>
                <w:sz w:val="24"/>
                <w:szCs w:val="24"/>
              </w:rPr>
              <w:t>）建立工频电场、工频磁感应强度、噪声监测、生态环境现状数据档案。</w:t>
            </w:r>
          </w:p>
          <w:p>
            <w:pPr>
              <w:spacing w:line="360" w:lineRule="auto"/>
              <w:ind w:firstLine="588" w:firstLineChars="245"/>
              <w:jc w:val="left"/>
              <w:rPr>
                <w:bCs/>
                <w:color w:val="auto"/>
                <w:sz w:val="24"/>
                <w:szCs w:val="24"/>
              </w:rPr>
            </w:pPr>
            <w:r>
              <w:rPr>
                <w:rFonts w:hint="eastAsia"/>
                <w:bCs/>
                <w:color w:val="auto"/>
                <w:sz w:val="24"/>
                <w:szCs w:val="24"/>
              </w:rPr>
              <w:t>（</w:t>
            </w:r>
            <w:r>
              <w:rPr>
                <w:bCs/>
                <w:color w:val="auto"/>
                <w:sz w:val="24"/>
                <w:szCs w:val="24"/>
              </w:rPr>
              <w:t>3</w:t>
            </w:r>
            <w:r>
              <w:rPr>
                <w:rFonts w:hint="eastAsia"/>
                <w:bCs/>
                <w:color w:val="auto"/>
                <w:sz w:val="24"/>
                <w:szCs w:val="24"/>
              </w:rPr>
              <w:t>）掌握项目所在地周围的环境特征，做好记录、建档工作。</w:t>
            </w:r>
          </w:p>
          <w:p>
            <w:pPr>
              <w:spacing w:line="360" w:lineRule="auto"/>
              <w:ind w:firstLine="588" w:firstLineChars="245"/>
              <w:jc w:val="left"/>
              <w:rPr>
                <w:bCs/>
                <w:color w:val="auto"/>
                <w:sz w:val="24"/>
                <w:szCs w:val="24"/>
              </w:rPr>
            </w:pPr>
            <w:r>
              <w:rPr>
                <w:rFonts w:hint="eastAsia"/>
                <w:bCs/>
                <w:color w:val="auto"/>
                <w:sz w:val="24"/>
                <w:szCs w:val="24"/>
              </w:rPr>
              <w:t>（</w:t>
            </w:r>
            <w:r>
              <w:rPr>
                <w:bCs/>
                <w:color w:val="auto"/>
                <w:sz w:val="24"/>
                <w:szCs w:val="24"/>
              </w:rPr>
              <w:t>4</w:t>
            </w:r>
            <w:r>
              <w:rPr>
                <w:rFonts w:hint="eastAsia"/>
                <w:bCs/>
                <w:color w:val="auto"/>
                <w:sz w:val="24"/>
                <w:szCs w:val="24"/>
              </w:rPr>
              <w:t>）检查污染防治设施运行情况，及时处理出现的问题，保证治理设施正常运行。</w:t>
            </w:r>
          </w:p>
          <w:p>
            <w:pPr>
              <w:spacing w:line="360" w:lineRule="auto"/>
              <w:ind w:firstLine="588" w:firstLineChars="245"/>
              <w:jc w:val="left"/>
              <w:rPr>
                <w:bCs/>
                <w:color w:val="auto"/>
                <w:sz w:val="24"/>
                <w:szCs w:val="24"/>
              </w:rPr>
            </w:pPr>
            <w:r>
              <w:rPr>
                <w:rFonts w:hint="eastAsia"/>
                <w:bCs/>
                <w:color w:val="auto"/>
                <w:sz w:val="24"/>
                <w:szCs w:val="24"/>
              </w:rPr>
              <w:t>（</w:t>
            </w:r>
            <w:r>
              <w:rPr>
                <w:bCs/>
                <w:color w:val="auto"/>
                <w:sz w:val="24"/>
                <w:szCs w:val="24"/>
              </w:rPr>
              <w:t>5</w:t>
            </w:r>
            <w:r>
              <w:rPr>
                <w:rFonts w:hint="eastAsia"/>
                <w:bCs/>
                <w:color w:val="auto"/>
                <w:sz w:val="24"/>
                <w:szCs w:val="24"/>
              </w:rPr>
              <w:t>）协调配合上级环保主管部门所进行的环境调查，生态调查等活动。</w:t>
            </w:r>
          </w:p>
          <w:p>
            <w:pPr>
              <w:spacing w:line="360" w:lineRule="auto"/>
              <w:ind w:firstLine="588" w:firstLineChars="245"/>
              <w:rPr>
                <w:bCs/>
                <w:color w:val="auto"/>
                <w:sz w:val="24"/>
                <w:szCs w:val="24"/>
              </w:rPr>
            </w:pPr>
            <w:r>
              <w:rPr>
                <w:rFonts w:hint="eastAsia"/>
                <w:bCs/>
                <w:color w:val="auto"/>
                <w:sz w:val="24"/>
                <w:szCs w:val="24"/>
              </w:rPr>
              <w:t>建设单位应对与工程项目有关的主要人员，包括施工单位、运行单位，进行环境保护技术和政策方面的培训与宣传，从而进一步增强施工、运行单位的环保管理的能力，减少施工和运行产生的不利环境影响，并且能够更好地参与和监督本项目的环保管理。</w:t>
            </w:r>
          </w:p>
          <w:p>
            <w:pPr>
              <w:spacing w:line="360" w:lineRule="auto"/>
              <w:jc w:val="left"/>
              <w:rPr>
                <w:b/>
                <w:color w:val="auto"/>
                <w:sz w:val="24"/>
              </w:rPr>
            </w:pPr>
            <w:r>
              <w:rPr>
                <w:b/>
                <w:color w:val="auto"/>
                <w:sz w:val="24"/>
              </w:rPr>
              <w:t>7.5.2</w:t>
            </w:r>
            <w:r>
              <w:rPr>
                <w:rFonts w:hint="eastAsia"/>
                <w:b/>
                <w:color w:val="auto"/>
                <w:sz w:val="24"/>
              </w:rPr>
              <w:t>环境监测</w:t>
            </w:r>
          </w:p>
          <w:p>
            <w:pPr>
              <w:spacing w:line="360" w:lineRule="auto"/>
              <w:jc w:val="left"/>
              <w:rPr>
                <w:color w:val="auto"/>
                <w:sz w:val="24"/>
              </w:rPr>
            </w:pPr>
            <w:r>
              <w:rPr>
                <w:color w:val="auto"/>
                <w:sz w:val="24"/>
              </w:rPr>
              <w:t>7.5.2.1</w:t>
            </w:r>
            <w:r>
              <w:rPr>
                <w:rFonts w:hint="eastAsia"/>
                <w:color w:val="auto"/>
                <w:sz w:val="24"/>
              </w:rPr>
              <w:t>环境监测任务</w:t>
            </w:r>
          </w:p>
          <w:p>
            <w:pPr>
              <w:spacing w:line="360" w:lineRule="auto"/>
              <w:ind w:firstLine="588" w:firstLineChars="245"/>
              <w:jc w:val="left"/>
              <w:rPr>
                <w:bCs/>
                <w:color w:val="auto"/>
                <w:sz w:val="24"/>
                <w:szCs w:val="24"/>
              </w:rPr>
            </w:pPr>
            <w:r>
              <w:rPr>
                <w:rFonts w:hint="eastAsia"/>
                <w:bCs/>
                <w:color w:val="auto"/>
                <w:sz w:val="24"/>
                <w:szCs w:val="24"/>
              </w:rPr>
              <w:t>（</w:t>
            </w:r>
            <w:r>
              <w:rPr>
                <w:bCs/>
                <w:color w:val="auto"/>
                <w:sz w:val="24"/>
                <w:szCs w:val="24"/>
              </w:rPr>
              <w:t>1</w:t>
            </w:r>
            <w:r>
              <w:rPr>
                <w:rFonts w:hint="eastAsia"/>
                <w:bCs/>
                <w:color w:val="auto"/>
                <w:sz w:val="24"/>
                <w:szCs w:val="24"/>
              </w:rPr>
              <w:t>）制定监测计划，监测运行期环境要素及评价因子的变化。</w:t>
            </w:r>
          </w:p>
          <w:p>
            <w:pPr>
              <w:spacing w:line="360" w:lineRule="auto"/>
              <w:ind w:firstLine="588" w:firstLineChars="245"/>
              <w:jc w:val="left"/>
              <w:rPr>
                <w:bCs/>
                <w:color w:val="auto"/>
                <w:sz w:val="24"/>
                <w:szCs w:val="24"/>
              </w:rPr>
            </w:pPr>
            <w:r>
              <w:rPr>
                <w:rFonts w:hint="eastAsia"/>
                <w:bCs/>
                <w:color w:val="auto"/>
                <w:sz w:val="24"/>
                <w:szCs w:val="24"/>
              </w:rPr>
              <w:t>（</w:t>
            </w:r>
            <w:r>
              <w:rPr>
                <w:bCs/>
                <w:color w:val="auto"/>
                <w:sz w:val="24"/>
                <w:szCs w:val="24"/>
              </w:rPr>
              <w:t>2</w:t>
            </w:r>
            <w:r>
              <w:rPr>
                <w:rFonts w:hint="eastAsia"/>
                <w:bCs/>
                <w:color w:val="auto"/>
                <w:sz w:val="24"/>
                <w:szCs w:val="24"/>
              </w:rPr>
              <w:t>）对工程突发的环境事件进行跟踪监测调查。</w:t>
            </w:r>
          </w:p>
          <w:p>
            <w:pPr>
              <w:spacing w:line="360" w:lineRule="auto"/>
              <w:jc w:val="left"/>
              <w:rPr>
                <w:bCs/>
                <w:color w:val="auto"/>
                <w:sz w:val="24"/>
                <w:szCs w:val="24"/>
              </w:rPr>
            </w:pPr>
            <w:r>
              <w:rPr>
                <w:bCs/>
                <w:color w:val="auto"/>
                <w:sz w:val="24"/>
                <w:szCs w:val="24"/>
              </w:rPr>
              <w:t>7.5.2.2</w:t>
            </w:r>
            <w:r>
              <w:rPr>
                <w:rFonts w:hint="eastAsia"/>
                <w:bCs/>
                <w:color w:val="auto"/>
                <w:sz w:val="24"/>
                <w:szCs w:val="24"/>
              </w:rPr>
              <w:t>监测点位布设</w:t>
            </w:r>
          </w:p>
          <w:p>
            <w:pPr>
              <w:spacing w:line="360" w:lineRule="auto"/>
              <w:ind w:firstLine="588" w:firstLineChars="245"/>
              <w:jc w:val="left"/>
              <w:rPr>
                <w:bCs/>
                <w:color w:val="auto"/>
                <w:sz w:val="24"/>
                <w:szCs w:val="24"/>
              </w:rPr>
            </w:pPr>
            <w:r>
              <w:rPr>
                <w:rFonts w:hint="eastAsia"/>
                <w:bCs/>
                <w:color w:val="auto"/>
                <w:sz w:val="24"/>
                <w:szCs w:val="24"/>
              </w:rPr>
              <w:t>监测点位应布置在人类活动相对频繁区域。变电站可根据总平面布置，在其厂界四周设置监测点。</w:t>
            </w:r>
          </w:p>
          <w:p>
            <w:pPr>
              <w:spacing w:line="360" w:lineRule="auto"/>
              <w:jc w:val="left"/>
              <w:rPr>
                <w:bCs/>
                <w:color w:val="auto"/>
                <w:sz w:val="24"/>
                <w:szCs w:val="24"/>
              </w:rPr>
            </w:pPr>
            <w:r>
              <w:rPr>
                <w:bCs/>
                <w:color w:val="auto"/>
                <w:sz w:val="24"/>
                <w:szCs w:val="24"/>
              </w:rPr>
              <w:t>7.5.2.3</w:t>
            </w:r>
            <w:r>
              <w:rPr>
                <w:rFonts w:hint="eastAsia"/>
                <w:bCs/>
                <w:color w:val="auto"/>
                <w:sz w:val="24"/>
                <w:szCs w:val="24"/>
              </w:rPr>
              <w:t>监测技术要求</w:t>
            </w:r>
          </w:p>
          <w:p>
            <w:pPr>
              <w:spacing w:line="360" w:lineRule="auto"/>
              <w:ind w:firstLine="588" w:firstLineChars="245"/>
              <w:jc w:val="left"/>
              <w:rPr>
                <w:bCs/>
                <w:color w:val="auto"/>
                <w:sz w:val="24"/>
                <w:szCs w:val="24"/>
              </w:rPr>
            </w:pPr>
            <w:r>
              <w:rPr>
                <w:rFonts w:hint="eastAsia"/>
                <w:bCs/>
                <w:color w:val="auto"/>
                <w:sz w:val="24"/>
                <w:szCs w:val="24"/>
              </w:rPr>
              <w:t>（</w:t>
            </w:r>
            <w:r>
              <w:rPr>
                <w:bCs/>
                <w:color w:val="auto"/>
                <w:sz w:val="24"/>
                <w:szCs w:val="24"/>
              </w:rPr>
              <w:t>1</w:t>
            </w:r>
            <w:r>
              <w:rPr>
                <w:rFonts w:hint="eastAsia"/>
                <w:bCs/>
                <w:color w:val="auto"/>
                <w:sz w:val="24"/>
                <w:szCs w:val="24"/>
              </w:rPr>
              <w:t>）监测范围应与工程影响区域相符。</w:t>
            </w:r>
          </w:p>
          <w:p>
            <w:pPr>
              <w:spacing w:line="360" w:lineRule="auto"/>
              <w:ind w:firstLine="588" w:firstLineChars="245"/>
              <w:jc w:val="left"/>
              <w:rPr>
                <w:bCs/>
                <w:color w:val="auto"/>
                <w:sz w:val="24"/>
                <w:szCs w:val="24"/>
              </w:rPr>
            </w:pPr>
            <w:r>
              <w:rPr>
                <w:rFonts w:hint="eastAsia"/>
                <w:bCs/>
                <w:color w:val="auto"/>
                <w:sz w:val="24"/>
                <w:szCs w:val="24"/>
              </w:rPr>
              <w:t>（</w:t>
            </w:r>
            <w:r>
              <w:rPr>
                <w:bCs/>
                <w:color w:val="auto"/>
                <w:sz w:val="24"/>
                <w:szCs w:val="24"/>
              </w:rPr>
              <w:t>2</w:t>
            </w:r>
            <w:r>
              <w:rPr>
                <w:rFonts w:hint="eastAsia"/>
                <w:bCs/>
                <w:color w:val="auto"/>
                <w:sz w:val="24"/>
                <w:szCs w:val="24"/>
              </w:rPr>
              <w:t>）监测位置与频次应根据监测数据的代表性、生态环境质量的特征、变化和环境影响评价、工程竣工环境保护验收的要求确定。</w:t>
            </w:r>
          </w:p>
          <w:p>
            <w:pPr>
              <w:spacing w:line="360" w:lineRule="auto"/>
              <w:ind w:firstLine="588" w:firstLineChars="245"/>
              <w:jc w:val="left"/>
              <w:rPr>
                <w:bCs/>
                <w:color w:val="auto"/>
                <w:sz w:val="24"/>
                <w:szCs w:val="24"/>
              </w:rPr>
            </w:pPr>
            <w:r>
              <w:rPr>
                <w:rFonts w:hint="eastAsia"/>
                <w:bCs/>
                <w:color w:val="auto"/>
                <w:sz w:val="24"/>
                <w:szCs w:val="24"/>
              </w:rPr>
              <w:t>（</w:t>
            </w:r>
            <w:r>
              <w:rPr>
                <w:bCs/>
                <w:color w:val="auto"/>
                <w:sz w:val="24"/>
                <w:szCs w:val="24"/>
              </w:rPr>
              <w:t>3</w:t>
            </w:r>
            <w:r>
              <w:rPr>
                <w:rFonts w:hint="eastAsia"/>
                <w:bCs/>
                <w:color w:val="auto"/>
                <w:sz w:val="24"/>
                <w:szCs w:val="24"/>
              </w:rPr>
              <w:t>）监测方法与技术要求应符合国家现行的有关环境监测技术规范和环境监测标准分析方法。</w:t>
            </w:r>
          </w:p>
          <w:p>
            <w:pPr>
              <w:spacing w:line="360" w:lineRule="auto"/>
              <w:ind w:firstLine="588" w:firstLineChars="245"/>
              <w:jc w:val="left"/>
              <w:rPr>
                <w:bCs/>
                <w:color w:val="auto"/>
                <w:sz w:val="24"/>
                <w:szCs w:val="24"/>
              </w:rPr>
            </w:pPr>
            <w:r>
              <w:rPr>
                <w:rFonts w:hint="eastAsia"/>
                <w:bCs/>
                <w:color w:val="auto"/>
                <w:sz w:val="24"/>
                <w:szCs w:val="24"/>
              </w:rPr>
              <w:t>（</w:t>
            </w:r>
            <w:r>
              <w:rPr>
                <w:bCs/>
                <w:color w:val="auto"/>
                <w:sz w:val="24"/>
                <w:szCs w:val="24"/>
              </w:rPr>
              <w:t>4</w:t>
            </w:r>
            <w:r>
              <w:rPr>
                <w:rFonts w:hint="eastAsia"/>
                <w:bCs/>
                <w:color w:val="auto"/>
                <w:sz w:val="24"/>
                <w:szCs w:val="24"/>
              </w:rPr>
              <w:t>）监测成果应在原始数据基础上进行审查、校核、综合分析后整理编印。</w:t>
            </w:r>
          </w:p>
          <w:p>
            <w:pPr>
              <w:spacing w:line="360" w:lineRule="auto"/>
              <w:ind w:firstLine="588" w:firstLineChars="245"/>
              <w:jc w:val="left"/>
              <w:rPr>
                <w:bCs/>
                <w:color w:val="auto"/>
                <w:sz w:val="24"/>
                <w:szCs w:val="24"/>
              </w:rPr>
            </w:pPr>
            <w:r>
              <w:rPr>
                <w:rFonts w:hint="eastAsia"/>
                <w:bCs/>
                <w:color w:val="auto"/>
                <w:sz w:val="24"/>
                <w:szCs w:val="24"/>
              </w:rPr>
              <w:t>（</w:t>
            </w:r>
            <w:r>
              <w:rPr>
                <w:bCs/>
                <w:color w:val="auto"/>
                <w:sz w:val="24"/>
                <w:szCs w:val="24"/>
              </w:rPr>
              <w:t>5</w:t>
            </w:r>
            <w:r>
              <w:rPr>
                <w:rFonts w:hint="eastAsia"/>
                <w:bCs/>
                <w:color w:val="auto"/>
                <w:sz w:val="24"/>
                <w:szCs w:val="24"/>
              </w:rPr>
              <w:t>）应对监测提出质量保证要求。</w:t>
            </w:r>
          </w:p>
          <w:p>
            <w:pPr>
              <w:spacing w:line="360" w:lineRule="auto"/>
              <w:jc w:val="left"/>
              <w:rPr>
                <w:bCs/>
                <w:color w:val="auto"/>
                <w:sz w:val="24"/>
                <w:szCs w:val="24"/>
              </w:rPr>
            </w:pPr>
            <w:r>
              <w:rPr>
                <w:bCs/>
                <w:color w:val="auto"/>
                <w:sz w:val="24"/>
                <w:szCs w:val="24"/>
              </w:rPr>
              <w:t>7.5.2.4</w:t>
            </w:r>
            <w:r>
              <w:rPr>
                <w:rFonts w:hint="eastAsia"/>
                <w:bCs/>
                <w:color w:val="auto"/>
                <w:sz w:val="24"/>
                <w:szCs w:val="24"/>
              </w:rPr>
              <w:t>环境监测计划</w:t>
            </w:r>
          </w:p>
          <w:p>
            <w:pPr>
              <w:spacing w:line="360" w:lineRule="auto"/>
              <w:ind w:firstLine="480" w:firstLineChars="200"/>
              <w:jc w:val="left"/>
              <w:rPr>
                <w:bCs/>
                <w:color w:val="auto"/>
                <w:sz w:val="24"/>
                <w:szCs w:val="24"/>
              </w:rPr>
            </w:pPr>
            <w:r>
              <w:rPr>
                <w:rFonts w:hint="eastAsia"/>
                <w:bCs/>
                <w:color w:val="auto"/>
                <w:sz w:val="24"/>
                <w:szCs w:val="24"/>
              </w:rPr>
              <w:t>环境监测计划见表</w:t>
            </w:r>
            <w:r>
              <w:rPr>
                <w:bCs/>
                <w:color w:val="auto"/>
                <w:sz w:val="24"/>
                <w:szCs w:val="24"/>
              </w:rPr>
              <w:t>7-5</w:t>
            </w:r>
            <w:r>
              <w:rPr>
                <w:rFonts w:hint="eastAsia"/>
                <w:bCs/>
                <w:color w:val="auto"/>
                <w:sz w:val="24"/>
                <w:szCs w:val="24"/>
              </w:rPr>
              <w:t>。</w:t>
            </w:r>
          </w:p>
          <w:p>
            <w:pPr>
              <w:spacing w:line="360" w:lineRule="auto"/>
              <w:ind w:firstLine="422" w:firstLineChars="200"/>
              <w:jc w:val="center"/>
              <w:rPr>
                <w:rFonts w:hint="eastAsia"/>
                <w:b/>
                <w:bCs/>
                <w:color w:val="auto"/>
                <w:szCs w:val="21"/>
              </w:rPr>
            </w:pPr>
          </w:p>
          <w:p>
            <w:pPr>
              <w:spacing w:line="360" w:lineRule="auto"/>
              <w:ind w:firstLine="422" w:firstLineChars="200"/>
              <w:jc w:val="center"/>
              <w:rPr>
                <w:rFonts w:hint="eastAsia"/>
                <w:b/>
                <w:bCs/>
                <w:color w:val="auto"/>
                <w:szCs w:val="21"/>
              </w:rPr>
            </w:pPr>
          </w:p>
          <w:p>
            <w:pPr>
              <w:spacing w:line="360" w:lineRule="auto"/>
              <w:ind w:firstLine="422" w:firstLineChars="200"/>
              <w:jc w:val="center"/>
              <w:rPr>
                <w:rFonts w:hint="eastAsia"/>
                <w:b/>
                <w:bCs/>
                <w:color w:val="auto"/>
                <w:szCs w:val="21"/>
              </w:rPr>
            </w:pPr>
          </w:p>
          <w:p>
            <w:pPr>
              <w:spacing w:line="360" w:lineRule="auto"/>
              <w:ind w:firstLine="422" w:firstLineChars="200"/>
              <w:jc w:val="center"/>
              <w:rPr>
                <w:rFonts w:hint="eastAsia"/>
                <w:b/>
                <w:bCs/>
                <w:color w:val="auto"/>
                <w:szCs w:val="21"/>
              </w:rPr>
            </w:pPr>
          </w:p>
          <w:p>
            <w:pPr>
              <w:spacing w:line="360" w:lineRule="auto"/>
              <w:ind w:firstLine="422" w:firstLineChars="200"/>
              <w:jc w:val="center"/>
              <w:rPr>
                <w:b/>
                <w:bCs/>
                <w:color w:val="auto"/>
                <w:szCs w:val="21"/>
              </w:rPr>
            </w:pPr>
            <w:r>
              <w:rPr>
                <w:rFonts w:hint="eastAsia"/>
                <w:b/>
                <w:bCs/>
                <w:color w:val="auto"/>
                <w:szCs w:val="21"/>
              </w:rPr>
              <w:t>表</w:t>
            </w:r>
            <w:r>
              <w:rPr>
                <w:b/>
                <w:bCs/>
                <w:color w:val="auto"/>
                <w:szCs w:val="21"/>
              </w:rPr>
              <w:t xml:space="preserve">7-5    </w:t>
            </w:r>
            <w:r>
              <w:rPr>
                <w:rFonts w:hint="eastAsia"/>
                <w:b/>
                <w:bCs/>
                <w:color w:val="auto"/>
                <w:szCs w:val="21"/>
              </w:rPr>
              <w:t>环境监测计划一览表</w:t>
            </w:r>
          </w:p>
          <w:tbl>
            <w:tblPr>
              <w:tblStyle w:val="87"/>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276"/>
              <w:gridCol w:w="851"/>
              <w:gridCol w:w="3538"/>
              <w:gridCol w:w="1418"/>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gridSpan w:val="2"/>
                  <w:vAlign w:val="center"/>
                </w:tcPr>
                <w:p>
                  <w:pPr>
                    <w:jc w:val="center"/>
                    <w:rPr>
                      <w:bCs/>
                      <w:color w:val="auto"/>
                      <w:szCs w:val="21"/>
                    </w:rPr>
                  </w:pPr>
                  <w:r>
                    <w:rPr>
                      <w:rFonts w:hint="eastAsia"/>
                      <w:bCs/>
                      <w:color w:val="auto"/>
                      <w:szCs w:val="21"/>
                    </w:rPr>
                    <w:t>监测内容</w:t>
                  </w:r>
                </w:p>
              </w:tc>
              <w:tc>
                <w:tcPr>
                  <w:tcW w:w="4389" w:type="dxa"/>
                  <w:gridSpan w:val="2"/>
                  <w:vAlign w:val="center"/>
                </w:tcPr>
                <w:p>
                  <w:pPr>
                    <w:jc w:val="center"/>
                    <w:rPr>
                      <w:bCs/>
                      <w:color w:val="auto"/>
                      <w:szCs w:val="21"/>
                    </w:rPr>
                  </w:pPr>
                  <w:r>
                    <w:rPr>
                      <w:rFonts w:hint="eastAsia"/>
                      <w:bCs/>
                      <w:color w:val="auto"/>
                      <w:szCs w:val="21"/>
                    </w:rPr>
                    <w:t>监测布点</w:t>
                  </w:r>
                </w:p>
              </w:tc>
              <w:tc>
                <w:tcPr>
                  <w:tcW w:w="1418" w:type="dxa"/>
                  <w:vAlign w:val="center"/>
                </w:tcPr>
                <w:p>
                  <w:pPr>
                    <w:jc w:val="center"/>
                    <w:rPr>
                      <w:bCs/>
                      <w:color w:val="auto"/>
                      <w:szCs w:val="21"/>
                    </w:rPr>
                  </w:pPr>
                  <w:r>
                    <w:rPr>
                      <w:rFonts w:hint="eastAsia"/>
                      <w:bCs/>
                      <w:color w:val="auto"/>
                      <w:szCs w:val="21"/>
                    </w:rPr>
                    <w:t>监测时间</w:t>
                  </w:r>
                </w:p>
              </w:tc>
              <w:tc>
                <w:tcPr>
                  <w:tcW w:w="1326" w:type="dxa"/>
                  <w:vAlign w:val="center"/>
                </w:tcPr>
                <w:p>
                  <w:pPr>
                    <w:jc w:val="center"/>
                    <w:rPr>
                      <w:bCs/>
                      <w:color w:val="auto"/>
                      <w:szCs w:val="21"/>
                    </w:rPr>
                  </w:pPr>
                  <w:r>
                    <w:rPr>
                      <w:rFonts w:hint="eastAsia"/>
                      <w:bCs/>
                      <w:color w:val="auto"/>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jc w:val="center"/>
                    <w:rPr>
                      <w:bCs/>
                      <w:color w:val="auto"/>
                      <w:szCs w:val="21"/>
                    </w:rPr>
                  </w:pPr>
                  <w:r>
                    <w:rPr>
                      <w:rFonts w:hint="eastAsia"/>
                      <w:bCs/>
                      <w:color w:val="auto"/>
                      <w:szCs w:val="21"/>
                    </w:rPr>
                    <w:t>运行期</w:t>
                  </w:r>
                </w:p>
              </w:tc>
              <w:tc>
                <w:tcPr>
                  <w:tcW w:w="1276" w:type="dxa"/>
                  <w:vAlign w:val="center"/>
                </w:tcPr>
                <w:p>
                  <w:pPr>
                    <w:jc w:val="center"/>
                    <w:rPr>
                      <w:bCs/>
                      <w:color w:val="auto"/>
                      <w:szCs w:val="21"/>
                    </w:rPr>
                  </w:pPr>
                  <w:r>
                    <w:rPr>
                      <w:rFonts w:hint="eastAsia"/>
                      <w:bCs/>
                      <w:color w:val="auto"/>
                      <w:szCs w:val="21"/>
                    </w:rPr>
                    <w:t>工频电场、工频磁感应强度</w:t>
                  </w:r>
                </w:p>
              </w:tc>
              <w:tc>
                <w:tcPr>
                  <w:tcW w:w="851" w:type="dxa"/>
                  <w:vAlign w:val="center"/>
                </w:tcPr>
                <w:p>
                  <w:pPr>
                    <w:jc w:val="center"/>
                    <w:rPr>
                      <w:bCs/>
                      <w:color w:val="auto"/>
                      <w:szCs w:val="21"/>
                    </w:rPr>
                  </w:pPr>
                  <w:r>
                    <w:rPr>
                      <w:rFonts w:hint="eastAsia"/>
                      <w:bCs/>
                      <w:color w:val="auto"/>
                      <w:szCs w:val="21"/>
                    </w:rPr>
                    <w:t>储能电站</w:t>
                  </w:r>
                </w:p>
              </w:tc>
              <w:tc>
                <w:tcPr>
                  <w:tcW w:w="3538" w:type="dxa"/>
                  <w:vAlign w:val="center"/>
                </w:tcPr>
                <w:p>
                  <w:pPr>
                    <w:autoSpaceDE w:val="0"/>
                    <w:autoSpaceDN w:val="0"/>
                    <w:adjustRightInd w:val="0"/>
                    <w:rPr>
                      <w:bCs/>
                      <w:color w:val="auto"/>
                      <w:szCs w:val="21"/>
                    </w:rPr>
                  </w:pPr>
                  <w:r>
                    <w:rPr>
                      <w:rFonts w:hint="eastAsia"/>
                      <w:bCs/>
                      <w:color w:val="auto"/>
                      <w:szCs w:val="21"/>
                    </w:rPr>
                    <w:t>厂界四周均匀布设监测点，在高压侧或距带电构架较近的围墙侧适当增加监测点位；垂直进出线围墙布置监测断面，以</w:t>
                  </w:r>
                  <w:r>
                    <w:rPr>
                      <w:bCs/>
                      <w:color w:val="auto"/>
                      <w:szCs w:val="21"/>
                    </w:rPr>
                    <w:t>5m</w:t>
                  </w:r>
                  <w:r>
                    <w:rPr>
                      <w:rFonts w:hint="eastAsia"/>
                      <w:bCs/>
                      <w:color w:val="auto"/>
                      <w:szCs w:val="21"/>
                    </w:rPr>
                    <w:t>间隔布置测点，测至</w:t>
                  </w:r>
                  <w:r>
                    <w:rPr>
                      <w:bCs/>
                      <w:color w:val="auto"/>
                      <w:szCs w:val="21"/>
                    </w:rPr>
                    <w:t>50m</w:t>
                  </w:r>
                  <w:r>
                    <w:rPr>
                      <w:rFonts w:hint="eastAsia"/>
                      <w:bCs/>
                      <w:color w:val="auto"/>
                      <w:szCs w:val="21"/>
                    </w:rPr>
                    <w:t>处。</w:t>
                  </w:r>
                </w:p>
              </w:tc>
              <w:tc>
                <w:tcPr>
                  <w:tcW w:w="1418" w:type="dxa"/>
                  <w:vAlign w:val="center"/>
                </w:tcPr>
                <w:p>
                  <w:pPr>
                    <w:autoSpaceDE w:val="0"/>
                    <w:autoSpaceDN w:val="0"/>
                    <w:adjustRightInd w:val="0"/>
                    <w:rPr>
                      <w:bCs/>
                      <w:color w:val="auto"/>
                      <w:szCs w:val="21"/>
                    </w:rPr>
                  </w:pPr>
                  <w:r>
                    <w:rPr>
                      <w:rFonts w:hint="eastAsia"/>
                      <w:bCs/>
                      <w:color w:val="auto"/>
                      <w:szCs w:val="21"/>
                    </w:rPr>
                    <w:t>运行过程中每四年监测一次。</w:t>
                  </w:r>
                </w:p>
              </w:tc>
              <w:tc>
                <w:tcPr>
                  <w:tcW w:w="1326" w:type="dxa"/>
                  <w:vAlign w:val="center"/>
                </w:tcPr>
                <w:p>
                  <w:pPr>
                    <w:autoSpaceDE w:val="0"/>
                    <w:autoSpaceDN w:val="0"/>
                    <w:adjustRightInd w:val="0"/>
                    <w:jc w:val="center"/>
                    <w:rPr>
                      <w:bCs/>
                      <w:color w:val="auto"/>
                      <w:szCs w:val="21"/>
                    </w:rPr>
                  </w:pPr>
                  <w:r>
                    <w:rPr>
                      <w:rFonts w:hint="eastAsia"/>
                      <w:bCs/>
                      <w:color w:val="auto"/>
                      <w:szCs w:val="21"/>
                    </w:rPr>
                    <w:t>工频电场</w:t>
                  </w:r>
                </w:p>
                <w:p>
                  <w:pPr>
                    <w:autoSpaceDE w:val="0"/>
                    <w:autoSpaceDN w:val="0"/>
                    <w:adjustRightInd w:val="0"/>
                    <w:jc w:val="center"/>
                    <w:rPr>
                      <w:bCs/>
                      <w:color w:val="auto"/>
                      <w:szCs w:val="21"/>
                    </w:rPr>
                  </w:pPr>
                  <w:r>
                    <w:rPr>
                      <w:rFonts w:hint="eastAsia"/>
                      <w:bCs/>
                      <w:color w:val="auto"/>
                      <w:szCs w:val="21"/>
                    </w:rPr>
                    <w:t>工频磁感应强度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bCs/>
                      <w:color w:val="auto"/>
                      <w:szCs w:val="21"/>
                    </w:rPr>
                  </w:pPr>
                </w:p>
              </w:tc>
              <w:tc>
                <w:tcPr>
                  <w:tcW w:w="1276" w:type="dxa"/>
                  <w:vAlign w:val="center"/>
                </w:tcPr>
                <w:p>
                  <w:pPr>
                    <w:jc w:val="center"/>
                    <w:rPr>
                      <w:bCs/>
                      <w:color w:val="auto"/>
                      <w:szCs w:val="21"/>
                    </w:rPr>
                  </w:pPr>
                  <w:r>
                    <w:rPr>
                      <w:rFonts w:hint="eastAsia"/>
                      <w:bCs/>
                      <w:color w:val="auto"/>
                      <w:szCs w:val="21"/>
                    </w:rPr>
                    <w:t>噪声</w:t>
                  </w:r>
                </w:p>
              </w:tc>
              <w:tc>
                <w:tcPr>
                  <w:tcW w:w="851" w:type="dxa"/>
                  <w:vAlign w:val="center"/>
                </w:tcPr>
                <w:p>
                  <w:pPr>
                    <w:jc w:val="center"/>
                    <w:rPr>
                      <w:bCs/>
                      <w:color w:val="auto"/>
                      <w:szCs w:val="21"/>
                    </w:rPr>
                  </w:pPr>
                  <w:r>
                    <w:rPr>
                      <w:rFonts w:hint="eastAsia"/>
                      <w:bCs/>
                      <w:color w:val="auto"/>
                      <w:szCs w:val="21"/>
                    </w:rPr>
                    <w:t>储能电站</w:t>
                  </w:r>
                </w:p>
              </w:tc>
              <w:tc>
                <w:tcPr>
                  <w:tcW w:w="3538" w:type="dxa"/>
                  <w:vAlign w:val="center"/>
                </w:tcPr>
                <w:p>
                  <w:pPr>
                    <w:autoSpaceDE w:val="0"/>
                    <w:autoSpaceDN w:val="0"/>
                    <w:adjustRightInd w:val="0"/>
                    <w:jc w:val="left"/>
                    <w:rPr>
                      <w:bCs/>
                      <w:color w:val="auto"/>
                      <w:szCs w:val="21"/>
                    </w:rPr>
                  </w:pPr>
                  <w:r>
                    <w:rPr>
                      <w:rFonts w:hint="eastAsia"/>
                      <w:bCs/>
                      <w:color w:val="auto"/>
                      <w:szCs w:val="21"/>
                    </w:rPr>
                    <w:t>厂界四周均匀布设监测点位。</w:t>
                  </w:r>
                </w:p>
              </w:tc>
              <w:tc>
                <w:tcPr>
                  <w:tcW w:w="1418" w:type="dxa"/>
                  <w:vAlign w:val="center"/>
                </w:tcPr>
                <w:p>
                  <w:pPr>
                    <w:autoSpaceDE w:val="0"/>
                    <w:autoSpaceDN w:val="0"/>
                    <w:adjustRightInd w:val="0"/>
                    <w:rPr>
                      <w:bCs/>
                      <w:color w:val="auto"/>
                      <w:szCs w:val="21"/>
                    </w:rPr>
                  </w:pPr>
                  <w:r>
                    <w:rPr>
                      <w:rFonts w:hint="eastAsia"/>
                      <w:bCs/>
                      <w:color w:val="auto"/>
                      <w:szCs w:val="21"/>
                    </w:rPr>
                    <w:t>与电磁监测同时进行</w:t>
                  </w:r>
                </w:p>
              </w:tc>
              <w:tc>
                <w:tcPr>
                  <w:tcW w:w="1326" w:type="dxa"/>
                  <w:vAlign w:val="center"/>
                </w:tcPr>
                <w:p>
                  <w:pPr>
                    <w:autoSpaceDE w:val="0"/>
                    <w:autoSpaceDN w:val="0"/>
                    <w:adjustRightInd w:val="0"/>
                    <w:jc w:val="left"/>
                    <w:rPr>
                      <w:bCs/>
                      <w:color w:val="auto"/>
                      <w:szCs w:val="21"/>
                    </w:rPr>
                  </w:pPr>
                  <w:r>
                    <w:rPr>
                      <w:rFonts w:hint="eastAsia"/>
                      <w:bCs/>
                      <w:color w:val="auto"/>
                      <w:szCs w:val="21"/>
                    </w:rPr>
                    <w:t>等效连续声级</w:t>
                  </w:r>
                </w:p>
              </w:tc>
            </w:tr>
          </w:tbl>
          <w:p>
            <w:pPr>
              <w:spacing w:line="440" w:lineRule="exact"/>
              <w:jc w:val="left"/>
              <w:rPr>
                <w:b/>
                <w:color w:val="auto"/>
                <w:sz w:val="24"/>
                <w:u w:val="single"/>
              </w:rPr>
            </w:pPr>
            <w:r>
              <w:rPr>
                <w:b/>
                <w:color w:val="auto"/>
                <w:sz w:val="24"/>
                <w:u w:val="single"/>
              </w:rPr>
              <w:t>7.6</w:t>
            </w:r>
            <w:r>
              <w:rPr>
                <w:rFonts w:hint="eastAsia"/>
                <w:b/>
                <w:color w:val="auto"/>
                <w:sz w:val="24"/>
                <w:u w:val="single"/>
              </w:rPr>
              <w:t>“三线一单”控制要求符合性分析</w:t>
            </w:r>
          </w:p>
          <w:p>
            <w:pPr>
              <w:autoSpaceDE w:val="0"/>
              <w:autoSpaceDN w:val="0"/>
              <w:adjustRightInd w:val="0"/>
              <w:spacing w:line="360" w:lineRule="auto"/>
              <w:rPr>
                <w:rFonts w:ascii="宋体" w:cs="宋体"/>
                <w:color w:val="auto"/>
                <w:kern w:val="0"/>
                <w:sz w:val="24"/>
                <w:szCs w:val="24"/>
                <w:u w:val="single"/>
              </w:rPr>
            </w:pPr>
            <w:r>
              <w:rPr>
                <w:rFonts w:hint="eastAsia" w:ascii="宋体" w:cs="宋体"/>
                <w:color w:val="auto"/>
                <w:kern w:val="0"/>
                <w:sz w:val="24"/>
                <w:szCs w:val="24"/>
                <w:u w:val="single"/>
              </w:rPr>
              <w:t>（</w:t>
            </w:r>
            <w:r>
              <w:rPr>
                <w:rFonts w:ascii="Arial" w:hAnsi="Arial" w:cs="Arial"/>
                <w:color w:val="auto"/>
                <w:kern w:val="0"/>
                <w:sz w:val="24"/>
                <w:szCs w:val="24"/>
                <w:u w:val="single"/>
              </w:rPr>
              <w:t>1</w:t>
            </w:r>
            <w:r>
              <w:rPr>
                <w:rFonts w:hint="eastAsia" w:ascii="宋体" w:cs="宋体"/>
                <w:color w:val="auto"/>
                <w:kern w:val="0"/>
                <w:sz w:val="24"/>
                <w:szCs w:val="24"/>
                <w:u w:val="single"/>
              </w:rPr>
              <w:t>）生态保护红线</w:t>
            </w:r>
          </w:p>
          <w:p>
            <w:pPr>
              <w:autoSpaceDE w:val="0"/>
              <w:autoSpaceDN w:val="0"/>
              <w:adjustRightInd w:val="0"/>
              <w:spacing w:line="360" w:lineRule="auto"/>
              <w:ind w:firstLine="480" w:firstLineChars="200"/>
              <w:rPr>
                <w:rFonts w:ascii="宋体" w:cs="宋体"/>
                <w:color w:val="auto"/>
                <w:kern w:val="0"/>
                <w:sz w:val="24"/>
                <w:szCs w:val="24"/>
                <w:u w:val="single"/>
              </w:rPr>
            </w:pPr>
            <w:r>
              <w:rPr>
                <w:rFonts w:hint="eastAsia" w:ascii="宋体" w:cs="宋体"/>
                <w:color w:val="auto"/>
                <w:kern w:val="0"/>
                <w:sz w:val="24"/>
                <w:szCs w:val="24"/>
                <w:u w:val="single"/>
              </w:rPr>
              <w:t>本工程不涉及当地饮用水源、风景名胜区、自然保护区、森林公园、地质公园、自然遗产保护区、生态红线等生态敏感区，因此本项目的建设满足生态保护红线要求。</w:t>
            </w:r>
          </w:p>
          <w:p>
            <w:pPr>
              <w:autoSpaceDE w:val="0"/>
              <w:autoSpaceDN w:val="0"/>
              <w:adjustRightInd w:val="0"/>
              <w:spacing w:line="360" w:lineRule="auto"/>
              <w:rPr>
                <w:rFonts w:ascii="宋体" w:cs="宋体"/>
                <w:color w:val="auto"/>
                <w:kern w:val="0"/>
                <w:sz w:val="24"/>
                <w:szCs w:val="24"/>
                <w:u w:val="single"/>
              </w:rPr>
            </w:pPr>
            <w:r>
              <w:rPr>
                <w:rFonts w:hint="eastAsia" w:ascii="宋体" w:cs="宋体"/>
                <w:color w:val="auto"/>
                <w:kern w:val="0"/>
                <w:sz w:val="24"/>
                <w:szCs w:val="24"/>
                <w:u w:val="single"/>
              </w:rPr>
              <w:t>（</w:t>
            </w:r>
            <w:r>
              <w:rPr>
                <w:rFonts w:ascii="Arial" w:hAnsi="Arial" w:cs="Arial"/>
                <w:color w:val="auto"/>
                <w:kern w:val="0"/>
                <w:sz w:val="24"/>
                <w:szCs w:val="24"/>
                <w:u w:val="single"/>
              </w:rPr>
              <w:t>2</w:t>
            </w:r>
            <w:r>
              <w:rPr>
                <w:rFonts w:hint="eastAsia" w:ascii="宋体" w:cs="宋体"/>
                <w:color w:val="auto"/>
                <w:kern w:val="0"/>
                <w:sz w:val="24"/>
                <w:szCs w:val="24"/>
                <w:u w:val="single"/>
              </w:rPr>
              <w:t>）环境质量底线</w:t>
            </w:r>
          </w:p>
          <w:p>
            <w:pPr>
              <w:autoSpaceDE w:val="0"/>
              <w:autoSpaceDN w:val="0"/>
              <w:adjustRightInd w:val="0"/>
              <w:spacing w:line="360" w:lineRule="auto"/>
              <w:ind w:firstLine="480" w:firstLineChars="200"/>
              <w:rPr>
                <w:rFonts w:ascii="宋体" w:cs="宋体"/>
                <w:color w:val="auto"/>
                <w:kern w:val="0"/>
                <w:sz w:val="24"/>
                <w:szCs w:val="24"/>
                <w:u w:val="single"/>
              </w:rPr>
            </w:pPr>
            <w:r>
              <w:rPr>
                <w:rFonts w:hint="eastAsia" w:ascii="宋体" w:cs="宋体"/>
                <w:color w:val="auto"/>
                <w:kern w:val="0"/>
                <w:sz w:val="24"/>
                <w:szCs w:val="24"/>
                <w:u w:val="single"/>
              </w:rPr>
              <w:t>本项目声环境、电磁环境质量现状均能满足相应的标准要求，生态环境现状良好。本项目无废气产生，不排放废水，噪声经治理后能够做到达标排放，固废可做到无害化处理。采取本环评提出的相关防治措施后，本项目排放的污染物不会对区域环境质量底线造成冲击。</w:t>
            </w:r>
          </w:p>
          <w:p>
            <w:pPr>
              <w:autoSpaceDE w:val="0"/>
              <w:autoSpaceDN w:val="0"/>
              <w:adjustRightInd w:val="0"/>
              <w:spacing w:line="360" w:lineRule="auto"/>
              <w:rPr>
                <w:rFonts w:ascii="宋体" w:cs="宋体"/>
                <w:color w:val="auto"/>
                <w:kern w:val="0"/>
                <w:sz w:val="24"/>
                <w:szCs w:val="24"/>
                <w:u w:val="single"/>
              </w:rPr>
            </w:pPr>
            <w:r>
              <w:rPr>
                <w:rFonts w:hint="eastAsia" w:ascii="宋体" w:cs="宋体"/>
                <w:color w:val="auto"/>
                <w:kern w:val="0"/>
                <w:sz w:val="24"/>
                <w:szCs w:val="24"/>
                <w:u w:val="single"/>
              </w:rPr>
              <w:t>（</w:t>
            </w:r>
            <w:r>
              <w:rPr>
                <w:rFonts w:ascii="宋体" w:cs="宋体"/>
                <w:color w:val="auto"/>
                <w:kern w:val="0"/>
                <w:sz w:val="24"/>
                <w:szCs w:val="24"/>
                <w:u w:val="single"/>
              </w:rPr>
              <w:t>3</w:t>
            </w:r>
            <w:r>
              <w:rPr>
                <w:rFonts w:hint="eastAsia" w:ascii="宋体" w:cs="宋体"/>
                <w:color w:val="auto"/>
                <w:kern w:val="0"/>
                <w:sz w:val="24"/>
                <w:szCs w:val="24"/>
                <w:u w:val="single"/>
              </w:rPr>
              <w:t>）资源利用上线</w:t>
            </w:r>
          </w:p>
          <w:p>
            <w:pPr>
              <w:autoSpaceDE w:val="0"/>
              <w:autoSpaceDN w:val="0"/>
              <w:adjustRightInd w:val="0"/>
              <w:spacing w:line="360" w:lineRule="auto"/>
              <w:ind w:firstLine="600" w:firstLineChars="250"/>
              <w:rPr>
                <w:rFonts w:ascii="宋体" w:cs="宋体"/>
                <w:color w:val="auto"/>
                <w:kern w:val="0"/>
                <w:sz w:val="24"/>
                <w:szCs w:val="24"/>
                <w:u w:val="single"/>
              </w:rPr>
            </w:pPr>
            <w:r>
              <w:rPr>
                <w:rFonts w:hint="eastAsia" w:ascii="宋体" w:cs="宋体"/>
                <w:color w:val="auto"/>
                <w:kern w:val="0"/>
                <w:sz w:val="24"/>
                <w:szCs w:val="24"/>
                <w:u w:val="single"/>
              </w:rPr>
              <w:t>本项目建成运行后通过内部管理、设备选择、原辅材料的选用和管理、污染治理等多方面采取合理可行的防治措施，以“节能、降耗、减污”为目标，有效地控制污染。本项目新建储能电站属于电力供应项目，储能电站可在负荷高峰期间放电，在负荷低谷期间充电，起到削峰填谷作用，能提供能源利用效率，资源的利用符合国家相关要求，满足资源利用上线要求。</w:t>
            </w:r>
          </w:p>
          <w:p>
            <w:pPr>
              <w:spacing w:line="360" w:lineRule="auto"/>
              <w:ind w:firstLine="422" w:firstLineChars="200"/>
              <w:jc w:val="center"/>
              <w:rPr>
                <w:b/>
                <w:bCs/>
                <w:color w:val="auto"/>
                <w:szCs w:val="21"/>
              </w:rPr>
            </w:pPr>
          </w:p>
          <w:p>
            <w:pPr>
              <w:spacing w:line="360" w:lineRule="auto"/>
              <w:ind w:firstLine="422" w:firstLineChars="200"/>
              <w:jc w:val="center"/>
              <w:rPr>
                <w:b/>
                <w:bCs/>
                <w:color w:val="auto"/>
                <w:szCs w:val="21"/>
              </w:rPr>
            </w:pPr>
          </w:p>
          <w:p>
            <w:pPr>
              <w:spacing w:line="360" w:lineRule="auto"/>
              <w:ind w:firstLine="422" w:firstLineChars="200"/>
              <w:jc w:val="center"/>
              <w:rPr>
                <w:b/>
                <w:bCs/>
                <w:color w:val="auto"/>
                <w:szCs w:val="21"/>
              </w:rPr>
            </w:pPr>
          </w:p>
          <w:p>
            <w:pPr>
              <w:spacing w:line="360" w:lineRule="auto"/>
              <w:ind w:firstLine="422" w:firstLineChars="200"/>
              <w:jc w:val="center"/>
              <w:rPr>
                <w:b/>
                <w:bCs/>
                <w:color w:val="auto"/>
                <w:szCs w:val="21"/>
              </w:rPr>
            </w:pPr>
          </w:p>
          <w:p>
            <w:pPr>
              <w:spacing w:line="360" w:lineRule="auto"/>
              <w:ind w:firstLine="422" w:firstLineChars="200"/>
              <w:jc w:val="center"/>
              <w:rPr>
                <w:b/>
                <w:bCs/>
                <w:color w:val="auto"/>
                <w:szCs w:val="21"/>
              </w:rPr>
            </w:pPr>
          </w:p>
          <w:p>
            <w:pPr>
              <w:spacing w:line="360" w:lineRule="auto"/>
              <w:ind w:firstLine="422" w:firstLineChars="200"/>
              <w:jc w:val="center"/>
              <w:rPr>
                <w:b/>
                <w:bCs/>
                <w:color w:val="auto"/>
                <w:szCs w:val="21"/>
              </w:rPr>
            </w:pPr>
          </w:p>
          <w:p>
            <w:pPr>
              <w:spacing w:line="360" w:lineRule="auto"/>
              <w:rPr>
                <w:color w:val="auto"/>
              </w:rPr>
            </w:pPr>
          </w:p>
        </w:tc>
      </w:tr>
    </w:tbl>
    <w:p>
      <w:pPr>
        <w:adjustRightInd w:val="0"/>
        <w:snapToGrid w:val="0"/>
        <w:outlineLvl w:val="0"/>
        <w:rPr>
          <w:color w:val="auto"/>
        </w:rPr>
      </w:pPr>
      <w:bookmarkStart w:id="40" w:name="_Toc434934566"/>
      <w:bookmarkStart w:id="41" w:name="_Toc255307065"/>
      <w:r>
        <w:rPr>
          <w:b/>
          <w:color w:val="auto"/>
          <w:sz w:val="28"/>
          <w:szCs w:val="28"/>
        </w:rPr>
        <w:br w:type="page"/>
      </w:r>
      <w:bookmarkStart w:id="42" w:name="_Toc40447926"/>
      <w:r>
        <w:rPr>
          <w:rFonts w:hint="eastAsia"/>
          <w:b/>
          <w:color w:val="auto"/>
          <w:sz w:val="28"/>
          <w:szCs w:val="28"/>
        </w:rPr>
        <w:t>八、建设项目拟采取的防治措施及预期治理效果</w:t>
      </w:r>
      <w:bookmarkEnd w:id="40"/>
      <w:bookmarkEnd w:id="41"/>
      <w:bookmarkEnd w:id="42"/>
    </w:p>
    <w:bookmarkEnd w:id="28"/>
    <w:tbl>
      <w:tblPr>
        <w:tblStyle w:val="86"/>
        <w:tblW w:w="920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448"/>
        <w:gridCol w:w="708"/>
        <w:gridCol w:w="1150"/>
        <w:gridCol w:w="1355"/>
        <w:gridCol w:w="3181"/>
        <w:gridCol w:w="23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672" w:hRule="atLeast"/>
          <w:jc w:val="center"/>
        </w:trPr>
        <w:tc>
          <w:tcPr>
            <w:tcW w:w="1156" w:type="dxa"/>
            <w:gridSpan w:val="2"/>
          </w:tcPr>
          <w:p>
            <w:pPr>
              <w:ind w:firstLine="480"/>
              <w:rPr>
                <w:color w:val="auto"/>
                <w:szCs w:val="21"/>
              </w:rPr>
            </w:pPr>
            <w:bookmarkStart w:id="43" w:name="_Toc244053175"/>
            <w:r>
              <w:rPr>
                <w:rFonts w:hint="eastAsia"/>
                <w:color w:val="auto"/>
                <w:szCs w:val="21"/>
              </w:rPr>
              <w:t>内容</w:t>
            </w:r>
          </w:p>
          <w:p>
            <w:pPr>
              <w:rPr>
                <w:color w:val="auto"/>
                <w:szCs w:val="21"/>
              </w:rPr>
            </w:pPr>
            <w:r>
              <w:rPr>
                <w:rFonts w:hint="eastAsia"/>
                <w:color w:val="auto"/>
                <w:szCs w:val="21"/>
              </w:rPr>
              <w:t>类型</w:t>
            </w:r>
          </w:p>
        </w:tc>
        <w:tc>
          <w:tcPr>
            <w:tcW w:w="1150" w:type="dxa"/>
            <w:vAlign w:val="center"/>
          </w:tcPr>
          <w:p>
            <w:pPr>
              <w:jc w:val="center"/>
              <w:rPr>
                <w:color w:val="auto"/>
                <w:szCs w:val="21"/>
              </w:rPr>
            </w:pPr>
            <w:r>
              <w:rPr>
                <w:rFonts w:hint="eastAsia"/>
                <w:color w:val="auto"/>
                <w:szCs w:val="21"/>
              </w:rPr>
              <w:t>排放源</w:t>
            </w:r>
          </w:p>
        </w:tc>
        <w:tc>
          <w:tcPr>
            <w:tcW w:w="1355" w:type="dxa"/>
            <w:vAlign w:val="center"/>
          </w:tcPr>
          <w:p>
            <w:pPr>
              <w:jc w:val="center"/>
              <w:rPr>
                <w:color w:val="auto"/>
                <w:szCs w:val="21"/>
              </w:rPr>
            </w:pPr>
            <w:r>
              <w:rPr>
                <w:rFonts w:hint="eastAsia"/>
                <w:color w:val="auto"/>
                <w:szCs w:val="21"/>
              </w:rPr>
              <w:t>污染物名称</w:t>
            </w:r>
          </w:p>
        </w:tc>
        <w:tc>
          <w:tcPr>
            <w:tcW w:w="3181" w:type="dxa"/>
            <w:vAlign w:val="center"/>
          </w:tcPr>
          <w:p>
            <w:pPr>
              <w:jc w:val="center"/>
              <w:rPr>
                <w:color w:val="auto"/>
                <w:szCs w:val="21"/>
              </w:rPr>
            </w:pPr>
            <w:r>
              <w:rPr>
                <w:rFonts w:hint="eastAsia"/>
                <w:color w:val="auto"/>
                <w:szCs w:val="21"/>
              </w:rPr>
              <w:t>防治措施</w:t>
            </w:r>
          </w:p>
        </w:tc>
        <w:tc>
          <w:tcPr>
            <w:tcW w:w="2360" w:type="dxa"/>
            <w:vAlign w:val="center"/>
          </w:tcPr>
          <w:p>
            <w:pPr>
              <w:jc w:val="center"/>
              <w:rPr>
                <w:color w:val="auto"/>
                <w:szCs w:val="21"/>
              </w:rPr>
            </w:pPr>
            <w:r>
              <w:rPr>
                <w:rFonts w:hint="eastAsia"/>
                <w:color w:val="auto"/>
                <w:szCs w:val="21"/>
              </w:rPr>
              <w:t>预期治理效果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530" w:hRule="atLeast"/>
          <w:jc w:val="center"/>
        </w:trPr>
        <w:tc>
          <w:tcPr>
            <w:tcW w:w="448" w:type="dxa"/>
            <w:vMerge w:val="restart"/>
            <w:vAlign w:val="center"/>
          </w:tcPr>
          <w:p>
            <w:pPr>
              <w:jc w:val="center"/>
              <w:rPr>
                <w:color w:val="auto"/>
                <w:szCs w:val="21"/>
              </w:rPr>
            </w:pPr>
            <w:r>
              <w:rPr>
                <w:rFonts w:hint="eastAsia"/>
                <w:color w:val="auto"/>
                <w:szCs w:val="21"/>
              </w:rPr>
              <w:t>施工期</w:t>
            </w:r>
          </w:p>
        </w:tc>
        <w:tc>
          <w:tcPr>
            <w:tcW w:w="708" w:type="dxa"/>
            <w:vAlign w:val="center"/>
          </w:tcPr>
          <w:p>
            <w:pPr>
              <w:jc w:val="center"/>
              <w:rPr>
                <w:color w:val="auto"/>
                <w:szCs w:val="21"/>
              </w:rPr>
            </w:pPr>
            <w:r>
              <w:rPr>
                <w:rFonts w:hint="eastAsia"/>
                <w:color w:val="auto"/>
                <w:szCs w:val="21"/>
              </w:rPr>
              <w:t>大气污染物</w:t>
            </w:r>
          </w:p>
        </w:tc>
        <w:tc>
          <w:tcPr>
            <w:tcW w:w="1150" w:type="dxa"/>
            <w:vAlign w:val="center"/>
          </w:tcPr>
          <w:p>
            <w:pPr>
              <w:jc w:val="center"/>
              <w:rPr>
                <w:color w:val="auto"/>
                <w:szCs w:val="21"/>
              </w:rPr>
            </w:pPr>
            <w:r>
              <w:rPr>
                <w:rFonts w:hint="eastAsia"/>
                <w:color w:val="auto"/>
                <w:szCs w:val="21"/>
              </w:rPr>
              <w:t>施工场地</w:t>
            </w:r>
          </w:p>
          <w:p>
            <w:pPr>
              <w:jc w:val="center"/>
              <w:rPr>
                <w:color w:val="auto"/>
                <w:szCs w:val="21"/>
              </w:rPr>
            </w:pPr>
            <w:r>
              <w:rPr>
                <w:rFonts w:hint="eastAsia"/>
                <w:color w:val="auto"/>
                <w:szCs w:val="21"/>
              </w:rPr>
              <w:t>施工车辆</w:t>
            </w:r>
          </w:p>
        </w:tc>
        <w:tc>
          <w:tcPr>
            <w:tcW w:w="1355" w:type="dxa"/>
            <w:vAlign w:val="center"/>
          </w:tcPr>
          <w:p>
            <w:pPr>
              <w:jc w:val="center"/>
              <w:rPr>
                <w:color w:val="auto"/>
                <w:szCs w:val="21"/>
              </w:rPr>
            </w:pPr>
            <w:r>
              <w:rPr>
                <w:rFonts w:hint="eastAsia"/>
                <w:color w:val="auto"/>
                <w:szCs w:val="21"/>
              </w:rPr>
              <w:t>扬尘、</w:t>
            </w:r>
            <w:r>
              <w:rPr>
                <w:color w:val="auto"/>
                <w:szCs w:val="21"/>
              </w:rPr>
              <w:t>CO</w:t>
            </w:r>
            <w:r>
              <w:rPr>
                <w:rFonts w:hint="eastAsia"/>
                <w:color w:val="auto"/>
                <w:szCs w:val="21"/>
              </w:rPr>
              <w:t>、</w:t>
            </w:r>
            <w:r>
              <w:rPr>
                <w:color w:val="auto"/>
                <w:szCs w:val="21"/>
              </w:rPr>
              <w:t>THC</w:t>
            </w:r>
            <w:r>
              <w:rPr>
                <w:rFonts w:hint="eastAsia"/>
                <w:color w:val="auto"/>
                <w:szCs w:val="21"/>
              </w:rPr>
              <w:t>、</w:t>
            </w:r>
            <w:r>
              <w:rPr>
                <w:color w:val="auto"/>
                <w:szCs w:val="21"/>
              </w:rPr>
              <w:t>NOx</w:t>
            </w:r>
          </w:p>
        </w:tc>
        <w:tc>
          <w:tcPr>
            <w:tcW w:w="3181" w:type="dxa"/>
            <w:vAlign w:val="center"/>
          </w:tcPr>
          <w:p>
            <w:pPr>
              <w:jc w:val="left"/>
              <w:rPr>
                <w:color w:val="auto"/>
                <w:szCs w:val="21"/>
              </w:rPr>
            </w:pPr>
            <w:r>
              <w:rPr>
                <w:rFonts w:hint="eastAsia"/>
                <w:color w:val="auto"/>
                <w:szCs w:val="21"/>
              </w:rPr>
              <w:t>储能站附近的道路洒水，保持湿润，减少或避免产生扬尘。</w:t>
            </w:r>
          </w:p>
        </w:tc>
        <w:tc>
          <w:tcPr>
            <w:tcW w:w="2360" w:type="dxa"/>
            <w:vAlign w:val="center"/>
          </w:tcPr>
          <w:p>
            <w:pPr>
              <w:jc w:val="center"/>
              <w:rPr>
                <w:color w:val="auto"/>
                <w:szCs w:val="21"/>
              </w:rPr>
            </w:pPr>
            <w:r>
              <w:rPr>
                <w:rFonts w:hint="eastAsia"/>
                <w:bCs/>
                <w:color w:val="auto"/>
                <w:szCs w:val="21"/>
              </w:rPr>
              <w:t>对周围大气环境影响较小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554" w:hRule="atLeast"/>
          <w:jc w:val="center"/>
        </w:trPr>
        <w:tc>
          <w:tcPr>
            <w:tcW w:w="448" w:type="dxa"/>
            <w:vMerge w:val="continue"/>
          </w:tcPr>
          <w:p>
            <w:pPr>
              <w:ind w:firstLine="480"/>
              <w:rPr>
                <w:color w:val="auto"/>
                <w:szCs w:val="21"/>
              </w:rPr>
            </w:pPr>
          </w:p>
        </w:tc>
        <w:tc>
          <w:tcPr>
            <w:tcW w:w="708" w:type="dxa"/>
            <w:vAlign w:val="center"/>
          </w:tcPr>
          <w:p>
            <w:pPr>
              <w:jc w:val="center"/>
              <w:rPr>
                <w:color w:val="auto"/>
                <w:szCs w:val="21"/>
              </w:rPr>
            </w:pPr>
            <w:r>
              <w:rPr>
                <w:rFonts w:hint="eastAsia"/>
                <w:color w:val="auto"/>
                <w:szCs w:val="21"/>
              </w:rPr>
              <w:t>声环境</w:t>
            </w:r>
          </w:p>
        </w:tc>
        <w:tc>
          <w:tcPr>
            <w:tcW w:w="1150" w:type="dxa"/>
            <w:vAlign w:val="center"/>
          </w:tcPr>
          <w:p>
            <w:pPr>
              <w:jc w:val="center"/>
              <w:rPr>
                <w:color w:val="auto"/>
                <w:szCs w:val="21"/>
              </w:rPr>
            </w:pPr>
            <w:r>
              <w:rPr>
                <w:rFonts w:hint="eastAsia"/>
                <w:color w:val="auto"/>
                <w:szCs w:val="21"/>
              </w:rPr>
              <w:t>施工机械、运输</w:t>
            </w:r>
          </w:p>
        </w:tc>
        <w:tc>
          <w:tcPr>
            <w:tcW w:w="1355" w:type="dxa"/>
            <w:vAlign w:val="center"/>
          </w:tcPr>
          <w:p>
            <w:pPr>
              <w:jc w:val="center"/>
              <w:rPr>
                <w:color w:val="auto"/>
                <w:szCs w:val="21"/>
              </w:rPr>
            </w:pPr>
            <w:r>
              <w:rPr>
                <w:rFonts w:hint="eastAsia"/>
                <w:color w:val="auto"/>
                <w:szCs w:val="21"/>
              </w:rPr>
              <w:t>噪声</w:t>
            </w:r>
          </w:p>
        </w:tc>
        <w:tc>
          <w:tcPr>
            <w:tcW w:w="3181" w:type="dxa"/>
            <w:vAlign w:val="center"/>
          </w:tcPr>
          <w:p>
            <w:pPr>
              <w:jc w:val="left"/>
              <w:rPr>
                <w:color w:val="auto"/>
                <w:szCs w:val="21"/>
              </w:rPr>
            </w:pPr>
            <w:r>
              <w:rPr>
                <w:rFonts w:hint="eastAsia"/>
                <w:color w:val="auto"/>
                <w:szCs w:val="21"/>
              </w:rPr>
              <w:t>采用低噪声施工机械，合理安排施工时间。对运输车辆司机进行严格的培训教育，禁止随意鸣笛，避免噪声对道路附近居民产生影响。依法限制夜间施工。</w:t>
            </w:r>
          </w:p>
        </w:tc>
        <w:tc>
          <w:tcPr>
            <w:tcW w:w="2360" w:type="dxa"/>
            <w:vAlign w:val="center"/>
          </w:tcPr>
          <w:p>
            <w:pPr>
              <w:jc w:val="left"/>
              <w:rPr>
                <w:bCs/>
                <w:color w:val="auto"/>
                <w:szCs w:val="21"/>
              </w:rPr>
            </w:pPr>
            <w:r>
              <w:rPr>
                <w:rFonts w:hint="eastAsia"/>
                <w:color w:val="auto"/>
                <w:kern w:val="0"/>
                <w:szCs w:val="21"/>
              </w:rPr>
              <w:t>满足</w:t>
            </w:r>
            <w:r>
              <w:rPr>
                <w:rFonts w:hint="eastAsia"/>
                <w:color w:val="auto"/>
                <w:szCs w:val="21"/>
              </w:rPr>
              <w:t>《</w:t>
            </w:r>
            <w:r>
              <w:rPr>
                <w:color w:val="auto"/>
              </w:rPr>
              <w:fldChar w:fldCharType="begin"/>
            </w:r>
            <w:r>
              <w:rPr>
                <w:color w:val="auto"/>
              </w:rPr>
              <w:instrText xml:space="preserve"> HYPERLINK "http://kjs.mep.gov.cn/hjbhbz/bzwb/wlhj/hjzspfbz/201112/t20111222_221680.htm" \t "_blank" </w:instrText>
            </w:r>
            <w:r>
              <w:rPr>
                <w:color w:val="auto"/>
              </w:rPr>
              <w:fldChar w:fldCharType="separate"/>
            </w:r>
            <w:r>
              <w:rPr>
                <w:rFonts w:hint="eastAsia"/>
                <w:color w:val="auto"/>
                <w:szCs w:val="21"/>
              </w:rPr>
              <w:t>建筑施工场界环境噪声排放标准</w:t>
            </w:r>
            <w:r>
              <w:rPr>
                <w:rFonts w:hint="eastAsia"/>
                <w:color w:val="auto"/>
                <w:szCs w:val="21"/>
              </w:rPr>
              <w:fldChar w:fldCharType="end"/>
            </w:r>
            <w:r>
              <w:rPr>
                <w:rFonts w:hint="eastAsia"/>
                <w:color w:val="auto"/>
                <w:szCs w:val="21"/>
              </w:rPr>
              <w:t>》（</w:t>
            </w:r>
            <w:r>
              <w:rPr>
                <w:color w:val="auto"/>
                <w:szCs w:val="21"/>
              </w:rPr>
              <w:t>GB12523-2011</w:t>
            </w:r>
            <w:r>
              <w:rPr>
                <w:rFonts w:hint="eastAsia"/>
                <w:color w:val="auto"/>
                <w:szCs w:val="21"/>
              </w:rPr>
              <w:t>）要求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554" w:hRule="atLeast"/>
          <w:jc w:val="center"/>
        </w:trPr>
        <w:tc>
          <w:tcPr>
            <w:tcW w:w="448" w:type="dxa"/>
            <w:vMerge w:val="continue"/>
          </w:tcPr>
          <w:p>
            <w:pPr>
              <w:ind w:firstLine="480"/>
              <w:rPr>
                <w:color w:val="auto"/>
                <w:szCs w:val="21"/>
              </w:rPr>
            </w:pPr>
          </w:p>
        </w:tc>
        <w:tc>
          <w:tcPr>
            <w:tcW w:w="708" w:type="dxa"/>
            <w:vAlign w:val="center"/>
          </w:tcPr>
          <w:p>
            <w:pPr>
              <w:jc w:val="center"/>
              <w:rPr>
                <w:color w:val="auto"/>
                <w:szCs w:val="21"/>
              </w:rPr>
            </w:pPr>
            <w:r>
              <w:rPr>
                <w:rFonts w:hint="eastAsia"/>
                <w:color w:val="auto"/>
                <w:szCs w:val="21"/>
              </w:rPr>
              <w:t>废水</w:t>
            </w:r>
          </w:p>
        </w:tc>
        <w:tc>
          <w:tcPr>
            <w:tcW w:w="1150" w:type="dxa"/>
            <w:vAlign w:val="center"/>
          </w:tcPr>
          <w:p>
            <w:pPr>
              <w:jc w:val="center"/>
              <w:rPr>
                <w:color w:val="auto"/>
                <w:szCs w:val="21"/>
              </w:rPr>
            </w:pPr>
            <w:r>
              <w:rPr>
                <w:rFonts w:hint="eastAsia"/>
                <w:color w:val="auto"/>
                <w:szCs w:val="21"/>
              </w:rPr>
              <w:t>混凝土养护</w:t>
            </w:r>
          </w:p>
        </w:tc>
        <w:tc>
          <w:tcPr>
            <w:tcW w:w="1355" w:type="dxa"/>
            <w:vAlign w:val="center"/>
          </w:tcPr>
          <w:p>
            <w:pPr>
              <w:jc w:val="center"/>
              <w:rPr>
                <w:color w:val="auto"/>
                <w:szCs w:val="21"/>
              </w:rPr>
            </w:pPr>
            <w:r>
              <w:rPr>
                <w:rFonts w:hint="eastAsia"/>
                <w:color w:val="auto"/>
                <w:szCs w:val="21"/>
              </w:rPr>
              <w:t>废水</w:t>
            </w:r>
          </w:p>
        </w:tc>
        <w:tc>
          <w:tcPr>
            <w:tcW w:w="3181" w:type="dxa"/>
            <w:vAlign w:val="center"/>
          </w:tcPr>
          <w:p>
            <w:pPr>
              <w:jc w:val="left"/>
              <w:rPr>
                <w:color w:val="auto"/>
                <w:szCs w:val="21"/>
              </w:rPr>
            </w:pPr>
            <w:r>
              <w:rPr>
                <w:rFonts w:hint="eastAsia"/>
                <w:color w:val="auto"/>
                <w:szCs w:val="21"/>
              </w:rPr>
              <w:t>设沉砂池，沉淀后的废水回收，再次用于混凝土养护或用于施工场地洒水降尘。</w:t>
            </w:r>
          </w:p>
        </w:tc>
        <w:tc>
          <w:tcPr>
            <w:tcW w:w="2360" w:type="dxa"/>
            <w:vAlign w:val="center"/>
          </w:tcPr>
          <w:p>
            <w:pPr>
              <w:jc w:val="center"/>
              <w:rPr>
                <w:color w:val="auto"/>
                <w:szCs w:val="21"/>
              </w:rPr>
            </w:pPr>
            <w:r>
              <w:rPr>
                <w:rFonts w:hint="eastAsia"/>
                <w:color w:val="auto"/>
                <w:szCs w:val="21"/>
              </w:rPr>
              <w:t>对周围水体影响较小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505" w:hRule="atLeast"/>
          <w:jc w:val="center"/>
        </w:trPr>
        <w:tc>
          <w:tcPr>
            <w:tcW w:w="448" w:type="dxa"/>
            <w:vMerge w:val="continue"/>
          </w:tcPr>
          <w:p>
            <w:pPr>
              <w:ind w:firstLine="480"/>
              <w:rPr>
                <w:color w:val="auto"/>
                <w:szCs w:val="21"/>
              </w:rPr>
            </w:pPr>
          </w:p>
        </w:tc>
        <w:tc>
          <w:tcPr>
            <w:tcW w:w="708" w:type="dxa"/>
            <w:vMerge w:val="restart"/>
            <w:vAlign w:val="center"/>
          </w:tcPr>
          <w:p>
            <w:pPr>
              <w:jc w:val="center"/>
              <w:rPr>
                <w:color w:val="auto"/>
                <w:szCs w:val="21"/>
              </w:rPr>
            </w:pPr>
            <w:r>
              <w:rPr>
                <w:rFonts w:hint="eastAsia"/>
                <w:color w:val="auto"/>
                <w:szCs w:val="21"/>
              </w:rPr>
              <w:t>固体</w:t>
            </w:r>
          </w:p>
          <w:p>
            <w:pPr>
              <w:jc w:val="center"/>
              <w:rPr>
                <w:color w:val="auto"/>
                <w:szCs w:val="21"/>
              </w:rPr>
            </w:pPr>
            <w:r>
              <w:rPr>
                <w:rFonts w:hint="eastAsia"/>
                <w:color w:val="auto"/>
                <w:szCs w:val="21"/>
              </w:rPr>
              <w:t>废物</w:t>
            </w:r>
          </w:p>
        </w:tc>
        <w:tc>
          <w:tcPr>
            <w:tcW w:w="1150" w:type="dxa"/>
            <w:vAlign w:val="center"/>
          </w:tcPr>
          <w:p>
            <w:pPr>
              <w:jc w:val="center"/>
              <w:rPr>
                <w:color w:val="auto"/>
                <w:szCs w:val="21"/>
              </w:rPr>
            </w:pPr>
            <w:r>
              <w:rPr>
                <w:rFonts w:hint="eastAsia"/>
                <w:color w:val="auto"/>
                <w:szCs w:val="21"/>
              </w:rPr>
              <w:t>基础开挖</w:t>
            </w:r>
          </w:p>
        </w:tc>
        <w:tc>
          <w:tcPr>
            <w:tcW w:w="1355" w:type="dxa"/>
            <w:vAlign w:val="center"/>
          </w:tcPr>
          <w:p>
            <w:pPr>
              <w:jc w:val="center"/>
              <w:rPr>
                <w:color w:val="auto"/>
                <w:szCs w:val="21"/>
              </w:rPr>
            </w:pPr>
            <w:r>
              <w:rPr>
                <w:rFonts w:hint="eastAsia"/>
                <w:color w:val="auto"/>
                <w:szCs w:val="21"/>
              </w:rPr>
              <w:t>弃土</w:t>
            </w:r>
          </w:p>
        </w:tc>
        <w:tc>
          <w:tcPr>
            <w:tcW w:w="3181" w:type="dxa"/>
            <w:vAlign w:val="center"/>
          </w:tcPr>
          <w:p>
            <w:pPr>
              <w:rPr>
                <w:color w:val="auto"/>
                <w:szCs w:val="21"/>
              </w:rPr>
            </w:pPr>
            <w:r>
              <w:rPr>
                <w:rFonts w:hint="eastAsia"/>
                <w:color w:val="auto"/>
                <w:szCs w:val="21"/>
              </w:rPr>
              <w:t>储能站弃土应与相关单位签订弃土协议，将弃土进行外运妥善处理。</w:t>
            </w:r>
          </w:p>
        </w:tc>
        <w:tc>
          <w:tcPr>
            <w:tcW w:w="2360" w:type="dxa"/>
            <w:vMerge w:val="restart"/>
            <w:vAlign w:val="center"/>
          </w:tcPr>
          <w:p>
            <w:pPr>
              <w:jc w:val="center"/>
              <w:rPr>
                <w:color w:val="auto"/>
                <w:szCs w:val="21"/>
              </w:rPr>
            </w:pPr>
            <w:r>
              <w:rPr>
                <w:rFonts w:hint="eastAsia"/>
                <w:color w:val="auto"/>
                <w:szCs w:val="21"/>
              </w:rPr>
              <w:t>对周边环境影响较小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406" w:hRule="atLeast"/>
          <w:jc w:val="center"/>
        </w:trPr>
        <w:tc>
          <w:tcPr>
            <w:tcW w:w="448" w:type="dxa"/>
            <w:vMerge w:val="continue"/>
          </w:tcPr>
          <w:p>
            <w:pPr>
              <w:ind w:firstLine="480"/>
              <w:rPr>
                <w:color w:val="auto"/>
                <w:szCs w:val="21"/>
              </w:rPr>
            </w:pPr>
          </w:p>
        </w:tc>
        <w:tc>
          <w:tcPr>
            <w:tcW w:w="708" w:type="dxa"/>
            <w:vMerge w:val="continue"/>
          </w:tcPr>
          <w:p>
            <w:pPr>
              <w:ind w:firstLine="480"/>
              <w:rPr>
                <w:color w:val="auto"/>
                <w:szCs w:val="21"/>
              </w:rPr>
            </w:pPr>
          </w:p>
        </w:tc>
        <w:tc>
          <w:tcPr>
            <w:tcW w:w="1150" w:type="dxa"/>
            <w:vAlign w:val="center"/>
          </w:tcPr>
          <w:p>
            <w:pPr>
              <w:jc w:val="center"/>
              <w:rPr>
                <w:color w:val="auto"/>
                <w:szCs w:val="21"/>
              </w:rPr>
            </w:pPr>
            <w:r>
              <w:rPr>
                <w:rFonts w:hint="eastAsia"/>
                <w:color w:val="auto"/>
                <w:szCs w:val="21"/>
              </w:rPr>
              <w:t>旧塔拆除、新塔立塔、架线、生活垃圾</w:t>
            </w:r>
          </w:p>
        </w:tc>
        <w:tc>
          <w:tcPr>
            <w:tcW w:w="1355" w:type="dxa"/>
            <w:vAlign w:val="center"/>
          </w:tcPr>
          <w:p>
            <w:pPr>
              <w:jc w:val="center"/>
              <w:rPr>
                <w:color w:val="auto"/>
                <w:szCs w:val="21"/>
              </w:rPr>
            </w:pPr>
            <w:r>
              <w:rPr>
                <w:rFonts w:hint="eastAsia"/>
                <w:color w:val="auto"/>
                <w:szCs w:val="21"/>
              </w:rPr>
              <w:t>施工废料、垃圾</w:t>
            </w:r>
          </w:p>
        </w:tc>
        <w:tc>
          <w:tcPr>
            <w:tcW w:w="3181" w:type="dxa"/>
            <w:vAlign w:val="center"/>
          </w:tcPr>
          <w:p>
            <w:pPr>
              <w:rPr>
                <w:color w:val="auto"/>
                <w:szCs w:val="21"/>
              </w:rPr>
            </w:pPr>
            <w:r>
              <w:rPr>
                <w:rFonts w:hint="eastAsia"/>
                <w:color w:val="auto"/>
                <w:szCs w:val="21"/>
              </w:rPr>
              <w:t>产生量少，依托附近村民固体废物处理系统，不会对环境产生影响。</w:t>
            </w:r>
          </w:p>
        </w:tc>
        <w:tc>
          <w:tcPr>
            <w:tcW w:w="2360" w:type="dxa"/>
            <w:vMerge w:val="continue"/>
            <w:vAlign w:val="center"/>
          </w:tcPr>
          <w:p>
            <w:pPr>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448" w:type="dxa"/>
            <w:vMerge w:val="restart"/>
            <w:vAlign w:val="center"/>
          </w:tcPr>
          <w:p>
            <w:pPr>
              <w:ind w:left="105" w:leftChars="50"/>
              <w:jc w:val="center"/>
              <w:rPr>
                <w:color w:val="auto"/>
                <w:szCs w:val="21"/>
              </w:rPr>
            </w:pPr>
            <w:r>
              <w:rPr>
                <w:rFonts w:hint="eastAsia"/>
                <w:color w:val="auto"/>
                <w:szCs w:val="21"/>
              </w:rPr>
              <w:t>运行期</w:t>
            </w:r>
          </w:p>
        </w:tc>
        <w:tc>
          <w:tcPr>
            <w:tcW w:w="708" w:type="dxa"/>
            <w:vAlign w:val="center"/>
          </w:tcPr>
          <w:p>
            <w:pPr>
              <w:jc w:val="center"/>
              <w:rPr>
                <w:color w:val="auto"/>
                <w:szCs w:val="21"/>
              </w:rPr>
            </w:pPr>
            <w:r>
              <w:rPr>
                <w:rFonts w:hint="eastAsia"/>
                <w:color w:val="auto"/>
                <w:szCs w:val="21"/>
              </w:rPr>
              <w:t>电磁</w:t>
            </w:r>
          </w:p>
          <w:p>
            <w:pPr>
              <w:jc w:val="center"/>
              <w:rPr>
                <w:color w:val="auto"/>
                <w:szCs w:val="21"/>
              </w:rPr>
            </w:pPr>
            <w:r>
              <w:rPr>
                <w:rFonts w:hint="eastAsia"/>
                <w:color w:val="auto"/>
                <w:szCs w:val="21"/>
              </w:rPr>
              <w:t>环境</w:t>
            </w:r>
          </w:p>
        </w:tc>
        <w:tc>
          <w:tcPr>
            <w:tcW w:w="1150" w:type="dxa"/>
            <w:vAlign w:val="center"/>
          </w:tcPr>
          <w:p>
            <w:pPr>
              <w:jc w:val="center"/>
              <w:rPr>
                <w:color w:val="auto"/>
                <w:szCs w:val="21"/>
              </w:rPr>
            </w:pPr>
            <w:r>
              <w:rPr>
                <w:rFonts w:hint="eastAsia"/>
                <w:color w:val="auto"/>
                <w:szCs w:val="21"/>
              </w:rPr>
              <w:t>储能站</w:t>
            </w:r>
          </w:p>
        </w:tc>
        <w:tc>
          <w:tcPr>
            <w:tcW w:w="1355" w:type="dxa"/>
            <w:vAlign w:val="center"/>
          </w:tcPr>
          <w:p>
            <w:pPr>
              <w:rPr>
                <w:color w:val="auto"/>
                <w:szCs w:val="21"/>
              </w:rPr>
            </w:pPr>
            <w:r>
              <w:rPr>
                <w:rFonts w:hint="eastAsia"/>
                <w:color w:val="auto"/>
                <w:szCs w:val="21"/>
              </w:rPr>
              <w:t>工频电场强度</w:t>
            </w:r>
          </w:p>
          <w:p>
            <w:pPr>
              <w:rPr>
                <w:color w:val="auto"/>
                <w:szCs w:val="21"/>
              </w:rPr>
            </w:pPr>
            <w:r>
              <w:rPr>
                <w:rFonts w:hint="eastAsia"/>
                <w:color w:val="auto"/>
                <w:szCs w:val="21"/>
              </w:rPr>
              <w:t>工频磁感应强度</w:t>
            </w:r>
          </w:p>
        </w:tc>
        <w:tc>
          <w:tcPr>
            <w:tcW w:w="3181" w:type="dxa"/>
            <w:vAlign w:val="center"/>
          </w:tcPr>
          <w:p>
            <w:pPr>
              <w:rPr>
                <w:color w:val="auto"/>
                <w:szCs w:val="21"/>
              </w:rPr>
            </w:pPr>
            <w:r>
              <w:rPr>
                <w:rFonts w:hint="eastAsia"/>
                <w:color w:val="auto"/>
                <w:szCs w:val="21"/>
              </w:rPr>
              <w:t>①对于储能站，严格按照技术规程选择电气设备。</w:t>
            </w:r>
          </w:p>
          <w:p>
            <w:pPr>
              <w:rPr>
                <w:color w:val="auto"/>
                <w:szCs w:val="21"/>
              </w:rPr>
            </w:pPr>
            <w:r>
              <w:rPr>
                <w:rFonts w:hint="eastAsia"/>
                <w:color w:val="auto"/>
                <w:szCs w:val="21"/>
              </w:rPr>
              <w:t>②控制配电构架对地距离，以及构架间位置关系应保护一定距离，控制设备间连线离地面的最低高度，配电构架与储能站围墙应保持一定距离。</w:t>
            </w:r>
          </w:p>
        </w:tc>
        <w:tc>
          <w:tcPr>
            <w:tcW w:w="2360" w:type="dxa"/>
            <w:vAlign w:val="center"/>
          </w:tcPr>
          <w:p>
            <w:pPr>
              <w:rPr>
                <w:color w:val="auto"/>
                <w:szCs w:val="21"/>
              </w:rPr>
            </w:pPr>
            <w:r>
              <w:rPr>
                <w:rFonts w:hint="eastAsia"/>
                <w:color w:val="auto"/>
                <w:szCs w:val="21"/>
              </w:rPr>
              <w:t>符合《电磁环境控制限值》</w:t>
            </w:r>
            <w:r>
              <w:rPr>
                <w:color w:val="auto"/>
                <w:szCs w:val="21"/>
              </w:rPr>
              <w:t>(GB8702-2014)</w:t>
            </w:r>
            <w:r>
              <w:rPr>
                <w:rFonts w:hint="eastAsia"/>
                <w:color w:val="auto"/>
                <w:szCs w:val="21"/>
              </w:rPr>
              <w:t>中工频电场强度</w:t>
            </w:r>
            <w:r>
              <w:rPr>
                <w:color w:val="auto"/>
                <w:szCs w:val="21"/>
              </w:rPr>
              <w:t>4000V/m</w:t>
            </w:r>
            <w:r>
              <w:rPr>
                <w:rFonts w:hint="eastAsia"/>
                <w:color w:val="auto"/>
                <w:szCs w:val="21"/>
              </w:rPr>
              <w:t>、工频磁感应强度</w:t>
            </w:r>
            <w:r>
              <w:rPr>
                <w:color w:val="auto"/>
                <w:szCs w:val="21"/>
              </w:rPr>
              <w:t>100μT</w:t>
            </w:r>
            <w:r>
              <w:rPr>
                <w:rFonts w:hint="eastAsia"/>
                <w:color w:val="auto"/>
                <w:szCs w:val="21"/>
              </w:rPr>
              <w:t>的标准限值要求。</w:t>
            </w:r>
          </w:p>
          <w:p>
            <w:pP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448" w:type="dxa"/>
            <w:vMerge w:val="continue"/>
            <w:vAlign w:val="center"/>
          </w:tcPr>
          <w:p>
            <w:pPr>
              <w:rPr>
                <w:color w:val="auto"/>
                <w:szCs w:val="21"/>
              </w:rPr>
            </w:pPr>
          </w:p>
        </w:tc>
        <w:tc>
          <w:tcPr>
            <w:tcW w:w="708" w:type="dxa"/>
            <w:vAlign w:val="center"/>
          </w:tcPr>
          <w:p>
            <w:pPr>
              <w:jc w:val="center"/>
              <w:rPr>
                <w:color w:val="auto"/>
                <w:szCs w:val="21"/>
              </w:rPr>
            </w:pPr>
            <w:r>
              <w:rPr>
                <w:rFonts w:hint="eastAsia"/>
                <w:color w:val="auto"/>
                <w:szCs w:val="21"/>
              </w:rPr>
              <w:t>噪声</w:t>
            </w:r>
          </w:p>
        </w:tc>
        <w:tc>
          <w:tcPr>
            <w:tcW w:w="1150" w:type="dxa"/>
            <w:vAlign w:val="center"/>
          </w:tcPr>
          <w:p>
            <w:pPr>
              <w:jc w:val="center"/>
              <w:rPr>
                <w:color w:val="auto"/>
                <w:szCs w:val="21"/>
              </w:rPr>
            </w:pPr>
            <w:r>
              <w:rPr>
                <w:rFonts w:hint="eastAsia"/>
                <w:color w:val="auto"/>
                <w:szCs w:val="21"/>
              </w:rPr>
              <w:t>储能站</w:t>
            </w:r>
          </w:p>
        </w:tc>
        <w:tc>
          <w:tcPr>
            <w:tcW w:w="1355" w:type="dxa"/>
            <w:vAlign w:val="center"/>
          </w:tcPr>
          <w:p>
            <w:pPr>
              <w:jc w:val="center"/>
              <w:rPr>
                <w:color w:val="auto"/>
                <w:szCs w:val="21"/>
              </w:rPr>
            </w:pPr>
            <w:r>
              <w:rPr>
                <w:rFonts w:hint="eastAsia"/>
                <w:color w:val="auto"/>
                <w:szCs w:val="21"/>
              </w:rPr>
              <w:t>噪声</w:t>
            </w:r>
          </w:p>
        </w:tc>
        <w:tc>
          <w:tcPr>
            <w:tcW w:w="3181" w:type="dxa"/>
            <w:vAlign w:val="center"/>
          </w:tcPr>
          <w:p>
            <w:pPr>
              <w:rPr>
                <w:color w:val="auto"/>
                <w:szCs w:val="21"/>
              </w:rPr>
            </w:pPr>
            <w:r>
              <w:rPr>
                <w:rFonts w:hint="eastAsia"/>
                <w:color w:val="auto"/>
                <w:szCs w:val="21"/>
              </w:rPr>
              <w:t>在设备选型上选用符合国家噪声标准的设备，对设备的噪声指标提出限制要求，从源头控制噪声；加高西侧围墙或增设隔声屏障</w:t>
            </w:r>
          </w:p>
        </w:tc>
        <w:tc>
          <w:tcPr>
            <w:tcW w:w="2360" w:type="dxa"/>
            <w:vAlign w:val="center"/>
          </w:tcPr>
          <w:p>
            <w:pPr>
              <w:rPr>
                <w:color w:val="auto"/>
                <w:szCs w:val="21"/>
              </w:rPr>
            </w:pPr>
            <w:r>
              <w:rPr>
                <w:rFonts w:hint="eastAsia"/>
                <w:color w:val="auto"/>
                <w:szCs w:val="21"/>
              </w:rPr>
              <w:t>厂界满足《声环境质量</w:t>
            </w:r>
          </w:p>
          <w:p>
            <w:pPr>
              <w:rPr>
                <w:color w:val="auto"/>
                <w:szCs w:val="21"/>
              </w:rPr>
            </w:pPr>
            <w:r>
              <w:rPr>
                <w:rFonts w:hint="eastAsia"/>
                <w:color w:val="auto"/>
                <w:szCs w:val="21"/>
              </w:rPr>
              <w:t>标准》（</w:t>
            </w:r>
            <w:r>
              <w:rPr>
                <w:color w:val="auto"/>
                <w:szCs w:val="21"/>
              </w:rPr>
              <w:t>GB3096—2008</w:t>
            </w:r>
            <w:r>
              <w:rPr>
                <w:rFonts w:hint="eastAsia"/>
                <w:color w:val="auto"/>
                <w:szCs w:val="21"/>
              </w:rPr>
              <w:t>）中的</w:t>
            </w:r>
            <w:r>
              <w:rPr>
                <w:color w:val="auto"/>
                <w:szCs w:val="21"/>
              </w:rPr>
              <w:t>2</w:t>
            </w:r>
            <w:r>
              <w:rPr>
                <w:rFonts w:hint="eastAsia"/>
                <w:color w:val="auto"/>
                <w:szCs w:val="21"/>
              </w:rPr>
              <w:t>类标准限值要求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jc w:val="center"/>
        </w:trPr>
        <w:tc>
          <w:tcPr>
            <w:tcW w:w="448" w:type="dxa"/>
            <w:vMerge w:val="continue"/>
            <w:vAlign w:val="center"/>
          </w:tcPr>
          <w:p>
            <w:pPr>
              <w:rPr>
                <w:color w:val="auto"/>
                <w:szCs w:val="21"/>
              </w:rPr>
            </w:pPr>
          </w:p>
        </w:tc>
        <w:tc>
          <w:tcPr>
            <w:tcW w:w="708" w:type="dxa"/>
            <w:vAlign w:val="center"/>
          </w:tcPr>
          <w:p>
            <w:pPr>
              <w:jc w:val="center"/>
              <w:rPr>
                <w:color w:val="auto"/>
                <w:szCs w:val="21"/>
              </w:rPr>
            </w:pPr>
            <w:r>
              <w:rPr>
                <w:rFonts w:hint="eastAsia"/>
                <w:color w:val="auto"/>
                <w:szCs w:val="21"/>
              </w:rPr>
              <w:t>固废</w:t>
            </w:r>
          </w:p>
        </w:tc>
        <w:tc>
          <w:tcPr>
            <w:tcW w:w="1150" w:type="dxa"/>
            <w:vAlign w:val="center"/>
          </w:tcPr>
          <w:p>
            <w:pPr>
              <w:jc w:val="center"/>
              <w:rPr>
                <w:color w:val="auto"/>
                <w:szCs w:val="21"/>
              </w:rPr>
            </w:pPr>
            <w:r>
              <w:rPr>
                <w:rFonts w:hint="eastAsia"/>
                <w:color w:val="auto"/>
                <w:szCs w:val="21"/>
              </w:rPr>
              <w:t>储能站</w:t>
            </w:r>
          </w:p>
        </w:tc>
        <w:tc>
          <w:tcPr>
            <w:tcW w:w="1355" w:type="dxa"/>
            <w:vAlign w:val="center"/>
          </w:tcPr>
          <w:p>
            <w:pPr>
              <w:jc w:val="center"/>
              <w:rPr>
                <w:color w:val="auto"/>
                <w:szCs w:val="21"/>
              </w:rPr>
            </w:pPr>
            <w:r>
              <w:rPr>
                <w:rFonts w:hint="eastAsia"/>
                <w:color w:val="auto"/>
                <w:szCs w:val="21"/>
              </w:rPr>
              <w:t>废旧铅酸蓄电池、储能电池、事故油</w:t>
            </w:r>
          </w:p>
        </w:tc>
        <w:tc>
          <w:tcPr>
            <w:tcW w:w="3181" w:type="dxa"/>
            <w:vAlign w:val="center"/>
          </w:tcPr>
          <w:p>
            <w:pPr>
              <w:rPr>
                <w:color w:val="auto"/>
                <w:szCs w:val="21"/>
              </w:rPr>
            </w:pPr>
            <w:r>
              <w:rPr>
                <w:rFonts w:hint="eastAsia"/>
                <w:color w:val="auto"/>
                <w:szCs w:val="21"/>
              </w:rPr>
              <w:t>废旧铅酸蓄电池和事故油交由有资质单位处置；废旧储能电池交由厂家回收</w:t>
            </w:r>
          </w:p>
        </w:tc>
        <w:tc>
          <w:tcPr>
            <w:tcW w:w="2360" w:type="dxa"/>
            <w:vAlign w:val="center"/>
          </w:tcPr>
          <w:p>
            <w:pPr>
              <w:rPr>
                <w:color w:val="auto"/>
                <w:szCs w:val="21"/>
              </w:rPr>
            </w:pPr>
            <w:r>
              <w:rPr>
                <w:rFonts w:hint="eastAsia"/>
                <w:color w:val="auto"/>
                <w:szCs w:val="21"/>
              </w:rPr>
              <w:t>危废转移满足《危险废物贮存污染控制标准》（</w:t>
            </w:r>
            <w:r>
              <w:rPr>
                <w:color w:val="auto"/>
                <w:szCs w:val="21"/>
              </w:rPr>
              <w:t>GB18597-2001</w:t>
            </w:r>
            <w:r>
              <w:rPr>
                <w:rFonts w:hint="eastAsia"/>
                <w:color w:val="auto"/>
                <w:szCs w:val="21"/>
              </w:rPr>
              <w:t>）及</w:t>
            </w:r>
            <w:r>
              <w:rPr>
                <w:color w:val="auto"/>
                <w:szCs w:val="21"/>
              </w:rPr>
              <w:t xml:space="preserve">2013 </w:t>
            </w:r>
            <w:r>
              <w:rPr>
                <w:rFonts w:hint="eastAsia"/>
                <w:color w:val="auto"/>
                <w:szCs w:val="21"/>
              </w:rPr>
              <w:t>年修改单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90" w:hRule="atLeast"/>
          <w:jc w:val="center"/>
        </w:trPr>
        <w:tc>
          <w:tcPr>
            <w:tcW w:w="9202" w:type="dxa"/>
            <w:gridSpan w:val="6"/>
          </w:tcPr>
          <w:p>
            <w:pPr>
              <w:rPr>
                <w:b/>
                <w:color w:val="auto"/>
                <w:sz w:val="24"/>
                <w:szCs w:val="22"/>
              </w:rPr>
            </w:pPr>
            <w:r>
              <w:rPr>
                <w:rFonts w:hint="eastAsia"/>
                <w:b/>
                <w:color w:val="auto"/>
                <w:sz w:val="24"/>
                <w:szCs w:val="22"/>
              </w:rPr>
              <w:t>生态保护措施及预期效果：</w:t>
            </w:r>
          </w:p>
          <w:p>
            <w:pPr>
              <w:adjustRightInd w:val="0"/>
              <w:snapToGrid w:val="0"/>
              <w:ind w:firstLine="480" w:firstLineChars="200"/>
              <w:textAlignment w:val="baseline"/>
              <w:rPr>
                <w:color w:val="auto"/>
                <w:sz w:val="24"/>
              </w:rPr>
            </w:pPr>
            <w:r>
              <w:rPr>
                <w:rFonts w:hint="eastAsia"/>
                <w:color w:val="auto"/>
                <w:sz w:val="24"/>
              </w:rPr>
              <w:t>工程基础开挖和构筑物施工、设备安装完成后，及时对</w:t>
            </w:r>
            <w:r>
              <w:rPr>
                <w:rFonts w:hint="eastAsia"/>
                <w:iCs/>
                <w:color w:val="auto"/>
                <w:sz w:val="24"/>
              </w:rPr>
              <w:t>储能电站</w:t>
            </w:r>
            <w:r>
              <w:rPr>
                <w:rFonts w:hint="eastAsia"/>
                <w:color w:val="auto"/>
                <w:sz w:val="24"/>
              </w:rPr>
              <w:t>的裸露地面进行绿化措施，可减轻地表裸露产生的水土流失。</w:t>
            </w:r>
          </w:p>
          <w:p>
            <w:pPr>
              <w:adjustRightInd w:val="0"/>
              <w:snapToGrid w:val="0"/>
              <w:ind w:firstLine="480" w:firstLineChars="200"/>
              <w:textAlignment w:val="baseline"/>
              <w:rPr>
                <w:color w:val="auto"/>
                <w:szCs w:val="21"/>
              </w:rPr>
            </w:pPr>
            <w:r>
              <w:rPr>
                <w:rFonts w:hint="eastAsia"/>
                <w:color w:val="auto"/>
                <w:sz w:val="24"/>
              </w:rPr>
              <w:t>在基础土建施工过程中，要进行表土剥离，将表土和熟化土分开堆放，按原土层顺序回填，以便</w:t>
            </w:r>
            <w:r>
              <w:rPr>
                <w:rFonts w:hint="eastAsia"/>
                <w:iCs/>
                <w:color w:val="auto"/>
                <w:sz w:val="24"/>
              </w:rPr>
              <w:t>储能电站</w:t>
            </w:r>
            <w:r>
              <w:rPr>
                <w:rFonts w:hint="eastAsia"/>
                <w:color w:val="auto"/>
                <w:sz w:val="24"/>
              </w:rPr>
              <w:t>绿化部分的土地恢复，施工结束后应及时清理施工场地。</w:t>
            </w:r>
          </w:p>
        </w:tc>
      </w:tr>
    </w:tbl>
    <w:p>
      <w:pPr>
        <w:adjustRightInd w:val="0"/>
        <w:snapToGrid w:val="0"/>
        <w:outlineLvl w:val="0"/>
        <w:rPr>
          <w:b/>
          <w:color w:val="auto"/>
          <w:sz w:val="28"/>
          <w:szCs w:val="28"/>
        </w:rPr>
      </w:pPr>
      <w:r>
        <w:rPr>
          <w:b/>
          <w:color w:val="auto"/>
          <w:sz w:val="30"/>
          <w:szCs w:val="30"/>
        </w:rPr>
        <w:br w:type="page"/>
      </w:r>
      <w:bookmarkEnd w:id="43"/>
      <w:bookmarkStart w:id="44" w:name="_Toc434934568"/>
      <w:bookmarkStart w:id="45" w:name="_Toc40447927"/>
      <w:bookmarkStart w:id="46" w:name="_Toc244053177"/>
      <w:bookmarkStart w:id="47" w:name="_Toc243383331"/>
      <w:r>
        <w:rPr>
          <w:rFonts w:hint="eastAsia"/>
          <w:b/>
          <w:color w:val="auto"/>
          <w:sz w:val="28"/>
          <w:szCs w:val="28"/>
        </w:rPr>
        <w:t>九、结论与建议</w:t>
      </w:r>
      <w:bookmarkEnd w:id="44"/>
      <w:bookmarkEnd w:id="45"/>
    </w:p>
    <w:tbl>
      <w:tblPr>
        <w:tblStyle w:val="86"/>
        <w:tblW w:w="9235"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23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 w:hRule="atLeast"/>
        </w:trPr>
        <w:tc>
          <w:tcPr>
            <w:tcW w:w="9235" w:type="dxa"/>
          </w:tcPr>
          <w:p>
            <w:pPr>
              <w:spacing w:line="460" w:lineRule="exact"/>
              <w:rPr>
                <w:b/>
                <w:color w:val="auto"/>
                <w:sz w:val="24"/>
              </w:rPr>
            </w:pPr>
            <w:r>
              <w:rPr>
                <w:b/>
                <w:color w:val="auto"/>
                <w:sz w:val="24"/>
              </w:rPr>
              <w:t>9.1</w:t>
            </w:r>
            <w:r>
              <w:rPr>
                <w:rFonts w:hint="eastAsia"/>
                <w:b/>
                <w:color w:val="auto"/>
                <w:sz w:val="24"/>
              </w:rPr>
              <w:t>结论</w:t>
            </w:r>
          </w:p>
          <w:p>
            <w:pPr>
              <w:spacing w:line="460" w:lineRule="exact"/>
              <w:rPr>
                <w:b/>
                <w:color w:val="auto"/>
                <w:sz w:val="24"/>
              </w:rPr>
            </w:pPr>
            <w:r>
              <w:rPr>
                <w:b/>
                <w:color w:val="auto"/>
                <w:sz w:val="24"/>
              </w:rPr>
              <w:t xml:space="preserve">9.1.1 </w:t>
            </w:r>
            <w:r>
              <w:rPr>
                <w:rFonts w:hint="eastAsia"/>
                <w:b/>
                <w:color w:val="auto"/>
                <w:sz w:val="24"/>
              </w:rPr>
              <w:t>项目概况</w:t>
            </w:r>
          </w:p>
          <w:p>
            <w:pPr>
              <w:spacing w:line="460" w:lineRule="exact"/>
              <w:ind w:firstLine="650" w:firstLineChars="250"/>
              <w:jc w:val="left"/>
              <w:rPr>
                <w:iCs/>
                <w:color w:val="auto"/>
                <w:sz w:val="24"/>
                <w:szCs w:val="24"/>
              </w:rPr>
            </w:pPr>
            <w:r>
              <w:rPr>
                <w:rFonts w:hint="eastAsia"/>
                <w:color w:val="auto"/>
                <w:spacing w:val="10"/>
                <w:sz w:val="24"/>
                <w:szCs w:val="22"/>
              </w:rPr>
              <w:t>城步儒林电池储能站工程位于城步儒林</w:t>
            </w:r>
            <w:r>
              <w:rPr>
                <w:color w:val="auto"/>
                <w:spacing w:val="10"/>
                <w:sz w:val="24"/>
                <w:szCs w:val="22"/>
              </w:rPr>
              <w:t>220kV</w:t>
            </w:r>
            <w:r>
              <w:rPr>
                <w:rFonts w:hint="eastAsia"/>
                <w:color w:val="auto"/>
                <w:spacing w:val="10"/>
                <w:sz w:val="24"/>
                <w:szCs w:val="22"/>
              </w:rPr>
              <w:t>变电站西侧，总投资</w:t>
            </w:r>
            <w:r>
              <w:rPr>
                <w:color w:val="auto"/>
                <w:spacing w:val="10"/>
                <w:sz w:val="24"/>
                <w:szCs w:val="22"/>
              </w:rPr>
              <w:t>42471</w:t>
            </w:r>
            <w:r>
              <w:rPr>
                <w:rFonts w:hint="eastAsia"/>
                <w:color w:val="auto"/>
                <w:spacing w:val="10"/>
                <w:sz w:val="24"/>
                <w:szCs w:val="22"/>
              </w:rPr>
              <w:t>万元，储能电站占地面积为</w:t>
            </w:r>
            <w:r>
              <w:rPr>
                <w:color w:val="auto"/>
                <w:spacing w:val="10"/>
                <w:sz w:val="24"/>
                <w:szCs w:val="22"/>
              </w:rPr>
              <w:t>20466.8m</w:t>
            </w:r>
            <w:r>
              <w:rPr>
                <w:color w:val="auto"/>
                <w:spacing w:val="10"/>
                <w:sz w:val="24"/>
                <w:szCs w:val="22"/>
                <w:vertAlign w:val="superscript"/>
              </w:rPr>
              <w:t>2</w:t>
            </w:r>
            <w:r>
              <w:rPr>
                <w:rFonts w:hint="eastAsia"/>
                <w:color w:val="auto"/>
                <w:spacing w:val="10"/>
                <w:sz w:val="24"/>
                <w:szCs w:val="22"/>
              </w:rPr>
              <w:t>，拟设置</w:t>
            </w:r>
            <w:r>
              <w:rPr>
                <w:color w:val="auto"/>
                <w:spacing w:val="10"/>
                <w:sz w:val="24"/>
                <w:szCs w:val="22"/>
              </w:rPr>
              <w:t>80</w:t>
            </w:r>
            <w:r>
              <w:rPr>
                <w:rFonts w:hint="eastAsia"/>
                <w:color w:val="auto"/>
                <w:spacing w:val="10"/>
                <w:sz w:val="24"/>
                <w:szCs w:val="22"/>
              </w:rPr>
              <w:t>个</w:t>
            </w:r>
            <w:r>
              <w:rPr>
                <w:color w:val="auto"/>
                <w:spacing w:val="10"/>
                <w:sz w:val="24"/>
                <w:szCs w:val="22"/>
              </w:rPr>
              <w:t>1.25MW/2.5MWh</w:t>
            </w:r>
            <w:r>
              <w:rPr>
                <w:rFonts w:hint="eastAsia"/>
                <w:color w:val="auto"/>
                <w:spacing w:val="10"/>
                <w:sz w:val="24"/>
                <w:szCs w:val="22"/>
              </w:rPr>
              <w:t>集装箱式电池舱，及</w:t>
            </w:r>
            <w:r>
              <w:rPr>
                <w:color w:val="auto"/>
                <w:spacing w:val="10"/>
                <w:sz w:val="24"/>
                <w:szCs w:val="22"/>
              </w:rPr>
              <w:t>110kV</w:t>
            </w:r>
            <w:r>
              <w:rPr>
                <w:rFonts w:hint="eastAsia"/>
                <w:color w:val="auto"/>
                <w:spacing w:val="10"/>
                <w:sz w:val="24"/>
                <w:szCs w:val="22"/>
              </w:rPr>
              <w:t>升压变电站一座，设置</w:t>
            </w:r>
            <w:r>
              <w:rPr>
                <w:color w:val="auto"/>
                <w:spacing w:val="10"/>
                <w:sz w:val="24"/>
                <w:szCs w:val="22"/>
              </w:rPr>
              <w:t>63MVA</w:t>
            </w:r>
            <w:r>
              <w:rPr>
                <w:rFonts w:hint="eastAsia"/>
                <w:color w:val="auto"/>
                <w:spacing w:val="10"/>
                <w:sz w:val="24"/>
                <w:szCs w:val="22"/>
              </w:rPr>
              <w:t>主变压器</w:t>
            </w:r>
            <w:r>
              <w:rPr>
                <w:color w:val="auto"/>
                <w:spacing w:val="10"/>
                <w:sz w:val="24"/>
                <w:szCs w:val="22"/>
              </w:rPr>
              <w:t>2</w:t>
            </w:r>
            <w:r>
              <w:rPr>
                <w:rFonts w:hint="eastAsia"/>
                <w:color w:val="auto"/>
                <w:spacing w:val="10"/>
                <w:sz w:val="24"/>
                <w:szCs w:val="22"/>
              </w:rPr>
              <w:t>台，设计为为户内式变电站；</w:t>
            </w:r>
            <w:r>
              <w:rPr>
                <w:rFonts w:hint="eastAsia"/>
                <w:iCs/>
                <w:color w:val="auto"/>
                <w:sz w:val="24"/>
                <w:szCs w:val="24"/>
              </w:rPr>
              <w:t>储能电站本期以</w:t>
            </w:r>
            <w:r>
              <w:rPr>
                <w:iCs/>
                <w:color w:val="auto"/>
                <w:sz w:val="24"/>
                <w:szCs w:val="24"/>
              </w:rPr>
              <w:t xml:space="preserve">1 </w:t>
            </w:r>
            <w:r>
              <w:rPr>
                <w:rFonts w:hint="eastAsia"/>
                <w:iCs/>
                <w:color w:val="auto"/>
                <w:sz w:val="24"/>
                <w:szCs w:val="24"/>
              </w:rPr>
              <w:t>回</w:t>
            </w:r>
            <w:r>
              <w:rPr>
                <w:iCs/>
                <w:color w:val="auto"/>
                <w:sz w:val="24"/>
                <w:szCs w:val="24"/>
              </w:rPr>
              <w:t>110kV</w:t>
            </w:r>
            <w:r>
              <w:rPr>
                <w:rFonts w:hint="eastAsia"/>
                <w:iCs/>
                <w:color w:val="auto"/>
                <w:sz w:val="24"/>
                <w:szCs w:val="24"/>
              </w:rPr>
              <w:t>架空线路接入儒林变</w:t>
            </w:r>
            <w:r>
              <w:rPr>
                <w:iCs/>
                <w:color w:val="auto"/>
                <w:sz w:val="24"/>
                <w:szCs w:val="24"/>
              </w:rPr>
              <w:t>110kV</w:t>
            </w:r>
            <w:r>
              <w:rPr>
                <w:rFonts w:hint="eastAsia"/>
                <w:iCs/>
                <w:color w:val="auto"/>
                <w:sz w:val="24"/>
                <w:szCs w:val="24"/>
              </w:rPr>
              <w:t>母线，路径线路长度约为</w:t>
            </w:r>
            <w:r>
              <w:rPr>
                <w:iCs/>
                <w:color w:val="auto"/>
                <w:sz w:val="24"/>
                <w:szCs w:val="24"/>
              </w:rPr>
              <w:t>0.2km</w:t>
            </w:r>
            <w:r>
              <w:rPr>
                <w:rFonts w:hint="eastAsia"/>
                <w:color w:val="auto"/>
                <w:spacing w:val="10"/>
                <w:sz w:val="24"/>
                <w:szCs w:val="22"/>
              </w:rPr>
              <w:t>。</w:t>
            </w:r>
            <w:r>
              <w:rPr>
                <w:rFonts w:hint="eastAsia"/>
                <w:iCs/>
                <w:color w:val="auto"/>
                <w:sz w:val="24"/>
                <w:szCs w:val="24"/>
              </w:rPr>
              <w:t>储能电池舱经</w:t>
            </w:r>
            <w:r>
              <w:rPr>
                <w:iCs/>
                <w:color w:val="auto"/>
                <w:sz w:val="24"/>
                <w:szCs w:val="24"/>
              </w:rPr>
              <w:t>PCS</w:t>
            </w:r>
            <w:r>
              <w:rPr>
                <w:rFonts w:hint="eastAsia"/>
                <w:iCs/>
                <w:color w:val="auto"/>
                <w:sz w:val="24"/>
                <w:szCs w:val="24"/>
              </w:rPr>
              <w:t>交直流转换舱逆变升压后接入升压变电站</w:t>
            </w:r>
            <w:r>
              <w:rPr>
                <w:iCs/>
                <w:color w:val="auto"/>
                <w:sz w:val="24"/>
                <w:szCs w:val="24"/>
              </w:rPr>
              <w:t>10kV</w:t>
            </w:r>
            <w:r>
              <w:rPr>
                <w:rFonts w:hint="eastAsia"/>
                <w:iCs/>
                <w:color w:val="auto"/>
                <w:sz w:val="24"/>
                <w:szCs w:val="24"/>
              </w:rPr>
              <w:t>母线，</w:t>
            </w:r>
            <w:r>
              <w:rPr>
                <w:iCs/>
                <w:color w:val="auto"/>
                <w:sz w:val="24"/>
                <w:szCs w:val="24"/>
              </w:rPr>
              <w:t>10kV</w:t>
            </w:r>
            <w:r>
              <w:rPr>
                <w:rFonts w:hint="eastAsia"/>
                <w:iCs/>
                <w:color w:val="auto"/>
                <w:sz w:val="24"/>
                <w:szCs w:val="24"/>
              </w:rPr>
              <w:t>母线汇流后通过</w:t>
            </w:r>
            <w:r>
              <w:rPr>
                <w:iCs/>
                <w:color w:val="auto"/>
                <w:sz w:val="24"/>
                <w:szCs w:val="24"/>
              </w:rPr>
              <w:t>110kV</w:t>
            </w:r>
            <w:r>
              <w:rPr>
                <w:rFonts w:hint="eastAsia"/>
                <w:iCs/>
                <w:color w:val="auto"/>
                <w:sz w:val="24"/>
                <w:szCs w:val="24"/>
              </w:rPr>
              <w:t>变压器升压后通过</w:t>
            </w:r>
            <w:r>
              <w:rPr>
                <w:iCs/>
                <w:color w:val="auto"/>
                <w:sz w:val="24"/>
                <w:szCs w:val="24"/>
              </w:rPr>
              <w:t>1</w:t>
            </w:r>
            <w:r>
              <w:rPr>
                <w:rFonts w:hint="eastAsia"/>
                <w:iCs/>
                <w:color w:val="auto"/>
                <w:sz w:val="24"/>
                <w:szCs w:val="24"/>
              </w:rPr>
              <w:t>回</w:t>
            </w:r>
            <w:r>
              <w:rPr>
                <w:iCs/>
                <w:color w:val="auto"/>
                <w:sz w:val="24"/>
                <w:szCs w:val="24"/>
              </w:rPr>
              <w:t>110kV</w:t>
            </w:r>
            <w:r>
              <w:rPr>
                <w:rFonts w:hint="eastAsia"/>
                <w:iCs/>
                <w:color w:val="auto"/>
                <w:sz w:val="24"/>
                <w:szCs w:val="24"/>
              </w:rPr>
              <w:t>线路就近接入儒林</w:t>
            </w:r>
            <w:r>
              <w:rPr>
                <w:iCs/>
                <w:color w:val="auto"/>
                <w:sz w:val="24"/>
                <w:szCs w:val="24"/>
              </w:rPr>
              <w:t>220kV</w:t>
            </w:r>
            <w:r>
              <w:rPr>
                <w:rFonts w:hint="eastAsia"/>
                <w:iCs/>
                <w:color w:val="auto"/>
                <w:sz w:val="24"/>
                <w:szCs w:val="24"/>
              </w:rPr>
              <w:t>变电站</w:t>
            </w:r>
            <w:r>
              <w:rPr>
                <w:iCs/>
                <w:color w:val="auto"/>
                <w:sz w:val="24"/>
                <w:szCs w:val="24"/>
              </w:rPr>
              <w:t>110kV</w:t>
            </w:r>
            <w:r>
              <w:rPr>
                <w:rFonts w:hint="eastAsia"/>
                <w:iCs/>
                <w:color w:val="auto"/>
                <w:sz w:val="24"/>
                <w:szCs w:val="24"/>
              </w:rPr>
              <w:t>母线上。</w:t>
            </w:r>
          </w:p>
          <w:p>
            <w:pPr>
              <w:spacing w:line="460" w:lineRule="exact"/>
              <w:rPr>
                <w:b/>
                <w:color w:val="auto"/>
                <w:sz w:val="24"/>
              </w:rPr>
            </w:pPr>
            <w:r>
              <w:rPr>
                <w:b/>
                <w:color w:val="auto"/>
                <w:sz w:val="24"/>
              </w:rPr>
              <w:t xml:space="preserve">9.1.2 </w:t>
            </w:r>
            <w:r>
              <w:rPr>
                <w:rFonts w:hint="eastAsia"/>
                <w:b/>
                <w:color w:val="auto"/>
                <w:sz w:val="24"/>
              </w:rPr>
              <w:t>项目建设的必要性及产业政策符合性分析</w:t>
            </w:r>
          </w:p>
          <w:p>
            <w:pPr>
              <w:adjustRightInd w:val="0"/>
              <w:snapToGrid w:val="0"/>
              <w:spacing w:line="460" w:lineRule="exact"/>
              <w:ind w:firstLine="480" w:firstLineChars="200"/>
              <w:rPr>
                <w:color w:val="auto"/>
                <w:spacing w:val="10"/>
                <w:sz w:val="24"/>
                <w:szCs w:val="22"/>
              </w:rPr>
            </w:pPr>
            <w:r>
              <w:rPr>
                <w:rFonts w:hint="eastAsia"/>
                <w:iCs/>
                <w:color w:val="auto"/>
                <w:sz w:val="24"/>
                <w:szCs w:val="24"/>
              </w:rPr>
              <w:t>根据省公司统一部署，国网湖南省电力公司经济与技术研究院</w:t>
            </w:r>
            <w:r>
              <w:rPr>
                <w:iCs/>
                <w:color w:val="auto"/>
                <w:sz w:val="24"/>
                <w:szCs w:val="24"/>
              </w:rPr>
              <w:t>9</w:t>
            </w:r>
            <w:r>
              <w:rPr>
                <w:rFonts w:hint="eastAsia"/>
                <w:iCs/>
                <w:color w:val="auto"/>
                <w:sz w:val="24"/>
                <w:szCs w:val="24"/>
              </w:rPr>
              <w:t>月份开始在全省范围内开展了储能电站规划布点工作并对部分站点进行了初步踏勘，为了提升湘西南地区新能源消纳能力、满足邵阳电网供电需求，提高电网调峰能力，提升电压质量和电网安全稳定水平，推动储能产业发展，</w:t>
            </w:r>
            <w:r>
              <w:rPr>
                <w:rFonts w:hint="eastAsia"/>
                <w:color w:val="auto"/>
                <w:spacing w:val="10"/>
                <w:sz w:val="24"/>
                <w:szCs w:val="22"/>
              </w:rPr>
              <w:t>本项目的建设是非常必要的。</w:t>
            </w:r>
          </w:p>
          <w:p>
            <w:pPr>
              <w:adjustRightInd w:val="0"/>
              <w:snapToGrid w:val="0"/>
              <w:spacing w:line="460" w:lineRule="exact"/>
              <w:ind w:firstLine="520" w:firstLineChars="200"/>
              <w:rPr>
                <w:color w:val="auto"/>
                <w:sz w:val="24"/>
              </w:rPr>
            </w:pPr>
            <w:r>
              <w:rPr>
                <w:rFonts w:hint="eastAsia"/>
                <w:color w:val="auto"/>
                <w:spacing w:val="10"/>
                <w:sz w:val="24"/>
                <w:szCs w:val="22"/>
              </w:rPr>
              <w:t>本工程属于国家发展和改革委员会颁布的《产业结构调整指导目录（</w:t>
            </w:r>
            <w:r>
              <w:rPr>
                <w:color w:val="auto"/>
                <w:spacing w:val="10"/>
                <w:sz w:val="24"/>
                <w:szCs w:val="22"/>
              </w:rPr>
              <w:t xml:space="preserve">2019 </w:t>
            </w:r>
            <w:r>
              <w:rPr>
                <w:rFonts w:hint="eastAsia"/>
                <w:color w:val="auto"/>
                <w:spacing w:val="10"/>
                <w:sz w:val="24"/>
                <w:szCs w:val="22"/>
              </w:rPr>
              <w:t>年本）》中的鼓励类“电网改造与建设”项目，符合国家产业政策。</w:t>
            </w:r>
          </w:p>
          <w:p>
            <w:pPr>
              <w:spacing w:line="460" w:lineRule="exact"/>
              <w:rPr>
                <w:b/>
                <w:color w:val="auto"/>
                <w:sz w:val="24"/>
              </w:rPr>
            </w:pPr>
            <w:r>
              <w:rPr>
                <w:b/>
                <w:color w:val="auto"/>
                <w:sz w:val="24"/>
              </w:rPr>
              <w:t xml:space="preserve">9.1.3 </w:t>
            </w:r>
            <w:r>
              <w:rPr>
                <w:rFonts w:hint="eastAsia"/>
                <w:b/>
                <w:color w:val="auto"/>
                <w:sz w:val="24"/>
              </w:rPr>
              <w:t>区域环境质量现状</w:t>
            </w:r>
          </w:p>
          <w:p>
            <w:pPr>
              <w:spacing w:line="460" w:lineRule="exact"/>
              <w:ind w:firstLine="540"/>
              <w:rPr>
                <w:color w:val="auto"/>
                <w:sz w:val="24"/>
                <w:szCs w:val="24"/>
              </w:rPr>
            </w:pPr>
            <w:r>
              <w:rPr>
                <w:rFonts w:hint="eastAsia"/>
                <w:color w:val="auto"/>
                <w:sz w:val="24"/>
                <w:szCs w:val="24"/>
              </w:rPr>
              <w:t>（</w:t>
            </w:r>
            <w:r>
              <w:rPr>
                <w:color w:val="auto"/>
                <w:sz w:val="24"/>
                <w:szCs w:val="24"/>
              </w:rPr>
              <w:t>1</w:t>
            </w:r>
            <w:r>
              <w:rPr>
                <w:rFonts w:hint="eastAsia"/>
                <w:color w:val="auto"/>
                <w:sz w:val="24"/>
                <w:szCs w:val="24"/>
              </w:rPr>
              <w:t>）声环境质量现状</w:t>
            </w:r>
          </w:p>
          <w:p>
            <w:pPr>
              <w:spacing w:line="460" w:lineRule="exact"/>
              <w:ind w:firstLine="480" w:firstLineChars="200"/>
              <w:rPr>
                <w:color w:val="auto"/>
                <w:sz w:val="24"/>
                <w:szCs w:val="24"/>
              </w:rPr>
            </w:pPr>
            <w:r>
              <w:rPr>
                <w:rFonts w:hint="eastAsia"/>
                <w:iCs/>
                <w:color w:val="auto"/>
                <w:sz w:val="24"/>
                <w:szCs w:val="24"/>
              </w:rPr>
              <w:t>根据声环境质量现状监测结果统计可知，拟建储能电站厂界四周声环境可满足《声环境质量标准》（</w:t>
            </w:r>
            <w:r>
              <w:rPr>
                <w:color w:val="auto"/>
              </w:rPr>
              <w:fldChar w:fldCharType="begin"/>
            </w:r>
            <w:r>
              <w:rPr>
                <w:color w:val="auto"/>
              </w:rPr>
              <w:instrText xml:space="preserve"> HYPERLINK "http://www.baidu.com/link?url=s1SkmXRnLAyMDg5XASAsHT4aJ9c87YiY3Pkg5Kl-k4Tk4D2XQHryrXXzp5PRiT7tSxBG6dI3L1IE-d5W6KvKu7swTb6FaHPZgb24Q5dLEZRmqXKTKC-4xrzcdOfePVvS" \t "_blank" </w:instrText>
            </w:r>
            <w:r>
              <w:rPr>
                <w:color w:val="auto"/>
              </w:rPr>
              <w:fldChar w:fldCharType="separate"/>
            </w:r>
            <w:r>
              <w:rPr>
                <w:iCs/>
                <w:color w:val="auto"/>
                <w:sz w:val="24"/>
                <w:szCs w:val="24"/>
              </w:rPr>
              <w:t>GB3096-2008</w:t>
            </w:r>
            <w:r>
              <w:rPr>
                <w:iCs/>
                <w:color w:val="auto"/>
                <w:sz w:val="24"/>
                <w:szCs w:val="24"/>
              </w:rPr>
              <w:fldChar w:fldCharType="end"/>
            </w:r>
            <w:r>
              <w:rPr>
                <w:rFonts w:hint="eastAsia"/>
                <w:iCs/>
                <w:color w:val="auto"/>
                <w:sz w:val="24"/>
                <w:szCs w:val="24"/>
              </w:rPr>
              <w:t>）中</w:t>
            </w:r>
            <w:r>
              <w:rPr>
                <w:iCs/>
                <w:color w:val="auto"/>
                <w:sz w:val="24"/>
                <w:szCs w:val="24"/>
              </w:rPr>
              <w:t>2</w:t>
            </w:r>
            <w:r>
              <w:rPr>
                <w:rFonts w:hint="eastAsia"/>
                <w:iCs/>
                <w:color w:val="auto"/>
                <w:sz w:val="24"/>
                <w:szCs w:val="24"/>
              </w:rPr>
              <w:t>类标准。</w:t>
            </w:r>
          </w:p>
          <w:p>
            <w:pPr>
              <w:spacing w:line="460" w:lineRule="exact"/>
              <w:ind w:firstLine="540"/>
              <w:rPr>
                <w:rFonts w:eastAsiaTheme="minorEastAsia"/>
                <w:color w:val="auto"/>
                <w:sz w:val="24"/>
              </w:rPr>
            </w:pPr>
            <w:r>
              <w:rPr>
                <w:rFonts w:hint="eastAsia" w:eastAsiaTheme="minorEastAsia"/>
                <w:color w:val="auto"/>
                <w:sz w:val="24"/>
              </w:rPr>
              <w:t>（</w:t>
            </w:r>
            <w:r>
              <w:rPr>
                <w:rFonts w:eastAsiaTheme="minorEastAsia"/>
                <w:color w:val="auto"/>
                <w:sz w:val="24"/>
              </w:rPr>
              <w:t>2</w:t>
            </w:r>
            <w:r>
              <w:rPr>
                <w:rFonts w:hint="eastAsia" w:eastAsiaTheme="minorEastAsia"/>
                <w:color w:val="auto"/>
                <w:sz w:val="24"/>
              </w:rPr>
              <w:t>）电磁环境质量现状</w:t>
            </w:r>
          </w:p>
          <w:p>
            <w:pPr>
              <w:adjustRightInd w:val="0"/>
              <w:snapToGrid w:val="0"/>
              <w:spacing w:line="460" w:lineRule="exact"/>
              <w:ind w:firstLine="480" w:firstLineChars="200"/>
              <w:rPr>
                <w:color w:val="auto"/>
                <w:sz w:val="24"/>
                <w:szCs w:val="24"/>
              </w:rPr>
            </w:pPr>
            <w:r>
              <w:rPr>
                <w:rFonts w:hint="eastAsia"/>
                <w:color w:val="auto"/>
                <w:sz w:val="24"/>
                <w:szCs w:val="24"/>
              </w:rPr>
              <w:t>儒林</w:t>
            </w:r>
            <w:r>
              <w:rPr>
                <w:color w:val="auto"/>
                <w:sz w:val="24"/>
                <w:szCs w:val="24"/>
              </w:rPr>
              <w:t>100MW/200MWh</w:t>
            </w:r>
            <w:r>
              <w:rPr>
                <w:rFonts w:hint="eastAsia"/>
                <w:color w:val="auto"/>
                <w:sz w:val="24"/>
                <w:szCs w:val="24"/>
              </w:rPr>
              <w:t>储能电站项目拟建四周外监测点的工频电场强度、工频磁感应强度最大监测值均小于《电磁环境控制限值》</w:t>
            </w:r>
            <w:r>
              <w:rPr>
                <w:color w:val="auto"/>
                <w:sz w:val="24"/>
                <w:szCs w:val="24"/>
              </w:rPr>
              <w:t>(GB8702-2014)</w:t>
            </w:r>
            <w:r>
              <w:rPr>
                <w:rFonts w:hint="eastAsia"/>
                <w:color w:val="auto"/>
                <w:sz w:val="24"/>
                <w:szCs w:val="24"/>
              </w:rPr>
              <w:t>中规定工作频率为</w:t>
            </w:r>
            <w:r>
              <w:rPr>
                <w:color w:val="auto"/>
                <w:sz w:val="24"/>
                <w:szCs w:val="24"/>
              </w:rPr>
              <w:t>50Hz</w:t>
            </w:r>
            <w:r>
              <w:rPr>
                <w:rFonts w:hint="eastAsia"/>
                <w:color w:val="auto"/>
                <w:sz w:val="24"/>
                <w:szCs w:val="24"/>
              </w:rPr>
              <w:t>工频电场强度</w:t>
            </w:r>
            <w:r>
              <w:rPr>
                <w:color w:val="auto"/>
                <w:sz w:val="24"/>
                <w:szCs w:val="24"/>
              </w:rPr>
              <w:t>4000V/m</w:t>
            </w:r>
            <w:r>
              <w:rPr>
                <w:rFonts w:hint="eastAsia"/>
                <w:color w:val="auto"/>
                <w:sz w:val="24"/>
                <w:szCs w:val="24"/>
              </w:rPr>
              <w:t>和工频磁感应强度</w:t>
            </w:r>
            <w:r>
              <w:rPr>
                <w:color w:val="auto"/>
                <w:sz w:val="24"/>
                <w:szCs w:val="24"/>
              </w:rPr>
              <w:t>100μT</w:t>
            </w:r>
            <w:r>
              <w:rPr>
                <w:rFonts w:hint="eastAsia"/>
                <w:color w:val="auto"/>
                <w:sz w:val="24"/>
                <w:szCs w:val="24"/>
              </w:rPr>
              <w:t>的标准限值要求。</w:t>
            </w:r>
          </w:p>
          <w:p>
            <w:pPr>
              <w:spacing w:line="460" w:lineRule="exact"/>
              <w:rPr>
                <w:b/>
                <w:color w:val="auto"/>
                <w:sz w:val="24"/>
              </w:rPr>
            </w:pPr>
            <w:r>
              <w:rPr>
                <w:b/>
                <w:color w:val="auto"/>
                <w:sz w:val="24"/>
              </w:rPr>
              <w:t xml:space="preserve">9.1.4 </w:t>
            </w:r>
            <w:r>
              <w:rPr>
                <w:rFonts w:hint="eastAsia"/>
                <w:b/>
                <w:color w:val="auto"/>
                <w:sz w:val="24"/>
              </w:rPr>
              <w:t>环境影响分析</w:t>
            </w:r>
          </w:p>
          <w:p>
            <w:pPr>
              <w:tabs>
                <w:tab w:val="left" w:leader="dot" w:pos="360"/>
              </w:tabs>
              <w:spacing w:line="460" w:lineRule="exact"/>
              <w:ind w:firstLine="482" w:firstLineChars="200"/>
              <w:jc w:val="left"/>
              <w:rPr>
                <w:b/>
                <w:color w:val="auto"/>
                <w:sz w:val="24"/>
              </w:rPr>
            </w:pPr>
            <w:r>
              <w:rPr>
                <w:rFonts w:hint="eastAsia"/>
                <w:b/>
                <w:color w:val="auto"/>
                <w:sz w:val="24"/>
              </w:rPr>
              <w:t>（</w:t>
            </w:r>
            <w:r>
              <w:rPr>
                <w:b/>
                <w:color w:val="auto"/>
                <w:sz w:val="24"/>
              </w:rPr>
              <w:t>1</w:t>
            </w:r>
            <w:r>
              <w:rPr>
                <w:rFonts w:hint="eastAsia"/>
                <w:b/>
                <w:color w:val="auto"/>
                <w:sz w:val="24"/>
              </w:rPr>
              <w:t>）施工期</w:t>
            </w:r>
          </w:p>
          <w:p>
            <w:pPr>
              <w:spacing w:line="460" w:lineRule="exact"/>
              <w:ind w:firstLine="480"/>
              <w:rPr>
                <w:color w:val="auto"/>
                <w:sz w:val="24"/>
                <w:szCs w:val="24"/>
              </w:rPr>
            </w:pPr>
            <w:r>
              <w:rPr>
                <w:rFonts w:hint="eastAsia"/>
                <w:color w:val="auto"/>
                <w:sz w:val="24"/>
                <w:szCs w:val="24"/>
              </w:rPr>
              <w:t>项目施工期将产生的施工噪声、粉尘、废水、固体废弃物以及弃土等会对周围环境造成一定影响，但这些影响都将随着工程的完工而自然消失。但在施工期间，必须严格执行施工管理条例，按照有关管理部门所制定的施工管理要求和报告表中所提的建议措施，切实做好防护工作，合理安排施工，使其对环境的影响减至最低限度，以尽量减少对环境的影响和对周围居民的干扰。</w:t>
            </w:r>
          </w:p>
          <w:p>
            <w:pPr>
              <w:spacing w:line="460" w:lineRule="exact"/>
              <w:ind w:firstLine="482" w:firstLineChars="200"/>
              <w:rPr>
                <w:b/>
                <w:color w:val="auto"/>
                <w:sz w:val="24"/>
              </w:rPr>
            </w:pPr>
            <w:r>
              <w:rPr>
                <w:rFonts w:hint="eastAsia"/>
                <w:b/>
                <w:color w:val="auto"/>
                <w:sz w:val="24"/>
              </w:rPr>
              <w:t>（</w:t>
            </w:r>
            <w:r>
              <w:rPr>
                <w:b/>
                <w:color w:val="auto"/>
                <w:sz w:val="24"/>
              </w:rPr>
              <w:t>2</w:t>
            </w:r>
            <w:r>
              <w:rPr>
                <w:rFonts w:hint="eastAsia"/>
                <w:b/>
                <w:color w:val="auto"/>
                <w:sz w:val="24"/>
              </w:rPr>
              <w:t>）营运期</w:t>
            </w:r>
          </w:p>
          <w:p>
            <w:pPr>
              <w:spacing w:line="460" w:lineRule="exact"/>
              <w:ind w:firstLine="480"/>
              <w:rPr>
                <w:color w:val="auto"/>
                <w:kern w:val="0"/>
                <w:sz w:val="24"/>
              </w:rPr>
            </w:pPr>
            <w:r>
              <w:rPr>
                <w:rFonts w:hint="eastAsia"/>
                <w:color w:val="auto"/>
                <w:kern w:val="0"/>
                <w:sz w:val="24"/>
              </w:rPr>
              <w:t>电磁环境影响：本次评价对储能电站的110kV主变的电磁环境影响采用类比分析的方法，并按照最终规模进行评价。根据类比分析预测，储能电站的110kV主变在正常运行工况下，场界外的工频电场强度、工频磁感应强度可满足《电磁环境控制限值》（</w:t>
            </w:r>
            <w:r>
              <w:rPr>
                <w:color w:val="auto"/>
                <w:kern w:val="0"/>
                <w:sz w:val="24"/>
              </w:rPr>
              <w:t>GB 8702-2014</w:t>
            </w:r>
            <w:r>
              <w:rPr>
                <w:rFonts w:hint="eastAsia"/>
                <w:color w:val="auto"/>
                <w:kern w:val="0"/>
                <w:sz w:val="24"/>
              </w:rPr>
              <w:t>）要求（即电场强度</w:t>
            </w:r>
            <w:r>
              <w:rPr>
                <w:rFonts w:hint="eastAsia"/>
                <w:color w:val="auto"/>
                <w:sz w:val="24"/>
              </w:rPr>
              <w:t>≤4000V/m、磁感应强度≤100</w:t>
            </w:r>
            <w:r>
              <w:rPr>
                <w:color w:val="auto"/>
                <w:szCs w:val="21"/>
              </w:rPr>
              <w:t>µ</w:t>
            </w:r>
            <w:r>
              <w:rPr>
                <w:color w:val="auto"/>
                <w:sz w:val="24"/>
              </w:rPr>
              <w:t>T</w:t>
            </w:r>
            <w:r>
              <w:rPr>
                <w:rFonts w:hint="eastAsia"/>
                <w:color w:val="auto"/>
                <w:kern w:val="0"/>
                <w:sz w:val="24"/>
              </w:rPr>
              <w:t>）。</w:t>
            </w:r>
          </w:p>
          <w:p>
            <w:pPr>
              <w:spacing w:line="460" w:lineRule="exact"/>
              <w:ind w:firstLine="480"/>
              <w:rPr>
                <w:color w:val="auto"/>
                <w:kern w:val="0"/>
                <w:sz w:val="24"/>
              </w:rPr>
            </w:pPr>
            <w:r>
              <w:rPr>
                <w:rFonts w:hint="eastAsia"/>
                <w:color w:val="auto"/>
                <w:kern w:val="0"/>
                <w:sz w:val="24"/>
              </w:rPr>
              <w:t>通过对输电线路理论预测分析可知，</w:t>
            </w:r>
            <w:r>
              <w:rPr>
                <w:rFonts w:hint="eastAsia"/>
                <w:color w:val="auto"/>
                <w:sz w:val="24"/>
              </w:rPr>
              <w:t>本工程</w:t>
            </w:r>
            <w:r>
              <w:rPr>
                <w:rFonts w:hint="eastAsia"/>
                <w:color w:val="auto"/>
                <w:kern w:val="0"/>
                <w:sz w:val="24"/>
              </w:rPr>
              <w:t>营运期，输电线路周边的工频电场强度、工频磁感应强度可满足《电磁环境控制限值》（</w:t>
            </w:r>
            <w:r>
              <w:rPr>
                <w:color w:val="auto"/>
                <w:kern w:val="0"/>
                <w:sz w:val="24"/>
              </w:rPr>
              <w:t>GB 8702-2014</w:t>
            </w:r>
            <w:r>
              <w:rPr>
                <w:rFonts w:hint="eastAsia"/>
                <w:color w:val="auto"/>
                <w:kern w:val="0"/>
                <w:sz w:val="24"/>
              </w:rPr>
              <w:t>）要求（即电场强度</w:t>
            </w:r>
            <w:r>
              <w:rPr>
                <w:rFonts w:hint="eastAsia"/>
                <w:color w:val="auto"/>
                <w:sz w:val="24"/>
              </w:rPr>
              <w:t>≤4000V/m、磁感应强度≤100</w:t>
            </w:r>
            <w:r>
              <w:rPr>
                <w:color w:val="auto"/>
                <w:szCs w:val="21"/>
              </w:rPr>
              <w:t>µ</w:t>
            </w:r>
            <w:r>
              <w:rPr>
                <w:color w:val="auto"/>
                <w:sz w:val="24"/>
              </w:rPr>
              <w:t>T</w:t>
            </w:r>
            <w:r>
              <w:rPr>
                <w:rFonts w:hint="eastAsia"/>
                <w:color w:val="auto"/>
                <w:kern w:val="0"/>
                <w:sz w:val="24"/>
              </w:rPr>
              <w:t>）。</w:t>
            </w:r>
          </w:p>
          <w:p>
            <w:pPr>
              <w:adjustRightInd w:val="0"/>
              <w:snapToGrid w:val="0"/>
              <w:spacing w:line="460" w:lineRule="exact"/>
              <w:ind w:firstLine="480" w:firstLineChars="200"/>
              <w:outlineLvl w:val="1"/>
              <w:rPr>
                <w:color w:val="auto"/>
                <w:sz w:val="24"/>
              </w:rPr>
            </w:pPr>
            <w:r>
              <w:rPr>
                <w:rFonts w:hint="eastAsia"/>
                <w:color w:val="auto"/>
                <w:kern w:val="0"/>
                <w:sz w:val="24"/>
              </w:rPr>
              <w:t>声环境影响：储能电站主要噪声源是站内设备运行时产生的连续电磁性和机械性噪声。</w:t>
            </w:r>
            <w:r>
              <w:rPr>
                <w:rFonts w:hint="eastAsia"/>
                <w:iCs/>
                <w:color w:val="auto"/>
                <w:sz w:val="24"/>
                <w:szCs w:val="24"/>
              </w:rPr>
              <w:t>储能电站场界噪声最大贡献值均可满足</w:t>
            </w:r>
            <w:r>
              <w:rPr>
                <w:rFonts w:hint="eastAsia"/>
                <w:color w:val="auto"/>
                <w:sz w:val="24"/>
                <w:szCs w:val="24"/>
              </w:rPr>
              <w:t>《工业企业厂界环境噪声排放标准》（</w:t>
            </w:r>
            <w:r>
              <w:rPr>
                <w:color w:val="auto"/>
                <w:sz w:val="24"/>
                <w:szCs w:val="24"/>
              </w:rPr>
              <w:t>GB12348-2008</w:t>
            </w:r>
            <w:r>
              <w:rPr>
                <w:rFonts w:hint="eastAsia"/>
                <w:color w:val="auto"/>
                <w:sz w:val="24"/>
                <w:szCs w:val="24"/>
              </w:rPr>
              <w:t>）</w:t>
            </w:r>
            <w:r>
              <w:rPr>
                <w:color w:val="auto"/>
                <w:sz w:val="24"/>
                <w:szCs w:val="24"/>
              </w:rPr>
              <w:t>2</w:t>
            </w:r>
            <w:r>
              <w:rPr>
                <w:rFonts w:hint="eastAsia"/>
                <w:color w:val="auto"/>
                <w:sz w:val="24"/>
                <w:szCs w:val="24"/>
              </w:rPr>
              <w:t>类噪声排放限值要求</w:t>
            </w:r>
            <w:r>
              <w:rPr>
                <w:color w:val="auto"/>
                <w:sz w:val="24"/>
                <w:szCs w:val="24"/>
              </w:rPr>
              <w:t>[</w:t>
            </w:r>
            <w:r>
              <w:rPr>
                <w:rFonts w:hint="eastAsia"/>
                <w:color w:val="auto"/>
                <w:sz w:val="24"/>
                <w:szCs w:val="24"/>
              </w:rPr>
              <w:t>昼间</w:t>
            </w:r>
            <w:r>
              <w:rPr>
                <w:color w:val="auto"/>
                <w:sz w:val="24"/>
                <w:szCs w:val="24"/>
              </w:rPr>
              <w:t>60dB</w:t>
            </w:r>
            <w:r>
              <w:rPr>
                <w:rFonts w:hint="eastAsia"/>
                <w:color w:val="auto"/>
                <w:sz w:val="24"/>
                <w:szCs w:val="24"/>
              </w:rPr>
              <w:t>（</w:t>
            </w:r>
            <w:r>
              <w:rPr>
                <w:color w:val="auto"/>
                <w:sz w:val="24"/>
                <w:szCs w:val="24"/>
              </w:rPr>
              <w:t>A</w:t>
            </w:r>
            <w:r>
              <w:rPr>
                <w:rFonts w:hint="eastAsia"/>
                <w:color w:val="auto"/>
                <w:sz w:val="24"/>
                <w:szCs w:val="24"/>
              </w:rPr>
              <w:t>）、夜间</w:t>
            </w:r>
            <w:r>
              <w:rPr>
                <w:color w:val="auto"/>
                <w:sz w:val="24"/>
                <w:szCs w:val="24"/>
              </w:rPr>
              <w:t>50dB</w:t>
            </w:r>
            <w:r>
              <w:rPr>
                <w:rFonts w:hint="eastAsia"/>
                <w:color w:val="auto"/>
                <w:sz w:val="24"/>
                <w:szCs w:val="24"/>
              </w:rPr>
              <w:t>（</w:t>
            </w:r>
            <w:r>
              <w:rPr>
                <w:color w:val="auto"/>
                <w:sz w:val="24"/>
                <w:szCs w:val="24"/>
              </w:rPr>
              <w:t>A</w:t>
            </w:r>
            <w:r>
              <w:rPr>
                <w:rFonts w:hint="eastAsia"/>
                <w:color w:val="auto"/>
                <w:sz w:val="24"/>
                <w:szCs w:val="24"/>
              </w:rPr>
              <w:t>）</w:t>
            </w:r>
            <w:r>
              <w:rPr>
                <w:color w:val="auto"/>
                <w:sz w:val="24"/>
                <w:szCs w:val="24"/>
              </w:rPr>
              <w:t>]</w:t>
            </w:r>
            <w:r>
              <w:rPr>
                <w:rFonts w:hint="eastAsia"/>
                <w:color w:val="auto"/>
                <w:sz w:val="24"/>
                <w:szCs w:val="24"/>
              </w:rPr>
              <w:t>。</w:t>
            </w:r>
            <w:r>
              <w:rPr>
                <w:rFonts w:hint="eastAsia"/>
                <w:iCs/>
                <w:color w:val="auto"/>
                <w:sz w:val="24"/>
                <w:szCs w:val="24"/>
              </w:rPr>
              <w:t>可见，本工程对外环境无明显影响。</w:t>
            </w:r>
          </w:p>
          <w:p>
            <w:pPr>
              <w:adjustRightInd w:val="0"/>
              <w:snapToGrid w:val="0"/>
              <w:spacing w:line="460" w:lineRule="exact"/>
              <w:ind w:firstLine="480" w:firstLineChars="200"/>
              <w:outlineLvl w:val="1"/>
              <w:rPr>
                <w:color w:val="auto"/>
                <w:kern w:val="0"/>
                <w:sz w:val="24"/>
              </w:rPr>
            </w:pPr>
            <w:r>
              <w:rPr>
                <w:rFonts w:hint="eastAsia"/>
                <w:color w:val="auto"/>
                <w:sz w:val="24"/>
              </w:rPr>
              <w:t>水环境影响：本工程</w:t>
            </w:r>
            <w:r>
              <w:rPr>
                <w:color w:val="auto"/>
                <w:sz w:val="24"/>
              </w:rPr>
              <w:t>110kV</w:t>
            </w:r>
            <w:r>
              <w:rPr>
                <w:rFonts w:hint="eastAsia"/>
                <w:color w:val="auto"/>
                <w:sz w:val="24"/>
              </w:rPr>
              <w:t>储能电站内无工业废水产生，无人值班，值守人员较少，产生的少量生活污水经化粪池处理后定期清掏不外排，对周边水环境无明显影响。</w:t>
            </w:r>
          </w:p>
          <w:p>
            <w:pPr>
              <w:adjustRightInd w:val="0"/>
              <w:snapToGrid w:val="0"/>
              <w:spacing w:line="460" w:lineRule="exact"/>
              <w:ind w:firstLine="480" w:firstLineChars="200"/>
              <w:outlineLvl w:val="1"/>
              <w:rPr>
                <w:color w:val="auto"/>
                <w:kern w:val="0"/>
                <w:sz w:val="24"/>
              </w:rPr>
            </w:pPr>
            <w:r>
              <w:rPr>
                <w:rFonts w:hint="eastAsia"/>
                <w:color w:val="auto"/>
                <w:kern w:val="0"/>
                <w:sz w:val="24"/>
              </w:rPr>
              <w:t>固体废物影响：储能电站运行期间固体废物为储能电站值守人员产生的生活垃圾及废旧蓄电池。少量生活垃圾经站内收集暂存后，由当地环卫部门进行定期清运处理。储能电站内蓄电池待使用寿命结束后，废旧铅酸蓄电池交及时由有资质单位处理，不在场内暂存，严禁随意丢弃；废旧磷酸铁锂电池交由厂家回收再生处置。</w:t>
            </w:r>
          </w:p>
          <w:p>
            <w:pPr>
              <w:spacing w:line="460" w:lineRule="exact"/>
              <w:rPr>
                <w:b/>
                <w:color w:val="auto"/>
                <w:sz w:val="24"/>
              </w:rPr>
            </w:pPr>
            <w:r>
              <w:rPr>
                <w:b/>
                <w:color w:val="auto"/>
                <w:sz w:val="24"/>
              </w:rPr>
              <w:t>9.1.5</w:t>
            </w:r>
            <w:r>
              <w:rPr>
                <w:rFonts w:hint="eastAsia"/>
                <w:b/>
                <w:color w:val="auto"/>
                <w:sz w:val="24"/>
              </w:rPr>
              <w:t>环保投资</w:t>
            </w:r>
          </w:p>
          <w:p>
            <w:pPr>
              <w:spacing w:line="460" w:lineRule="exact"/>
              <w:ind w:firstLine="480"/>
              <w:rPr>
                <w:color w:val="auto"/>
                <w:kern w:val="0"/>
                <w:sz w:val="24"/>
              </w:rPr>
            </w:pPr>
            <w:r>
              <w:rPr>
                <w:rFonts w:hint="eastAsia"/>
                <w:color w:val="auto"/>
                <w:kern w:val="0"/>
                <w:sz w:val="24"/>
              </w:rPr>
              <w:t>本项目总投资</w:t>
            </w:r>
            <w:r>
              <w:rPr>
                <w:color w:val="auto"/>
                <w:sz w:val="24"/>
                <w:szCs w:val="24"/>
              </w:rPr>
              <w:t>42471</w:t>
            </w:r>
            <w:r>
              <w:rPr>
                <w:rFonts w:hint="eastAsia"/>
                <w:color w:val="auto"/>
                <w:kern w:val="0"/>
                <w:sz w:val="24"/>
              </w:rPr>
              <w:t>万元，其中环保投资2</w:t>
            </w:r>
            <w:r>
              <w:rPr>
                <w:color w:val="auto"/>
                <w:kern w:val="0"/>
                <w:sz w:val="24"/>
              </w:rPr>
              <w:t>40</w:t>
            </w:r>
            <w:r>
              <w:rPr>
                <w:rFonts w:hint="eastAsia"/>
                <w:color w:val="auto"/>
                <w:kern w:val="0"/>
                <w:sz w:val="24"/>
              </w:rPr>
              <w:t>万元，占总投资0.57</w:t>
            </w:r>
            <w:r>
              <w:rPr>
                <w:color w:val="auto"/>
                <w:kern w:val="0"/>
                <w:sz w:val="24"/>
              </w:rPr>
              <w:t>%</w:t>
            </w:r>
            <w:r>
              <w:rPr>
                <w:rFonts w:hint="eastAsia"/>
                <w:color w:val="auto"/>
                <w:kern w:val="0"/>
                <w:sz w:val="24"/>
              </w:rPr>
              <w:t>。</w:t>
            </w:r>
          </w:p>
          <w:p>
            <w:pPr>
              <w:spacing w:line="460" w:lineRule="exact"/>
              <w:rPr>
                <w:b/>
                <w:color w:val="auto"/>
                <w:sz w:val="24"/>
              </w:rPr>
            </w:pPr>
            <w:r>
              <w:rPr>
                <w:b/>
                <w:color w:val="auto"/>
                <w:sz w:val="24"/>
              </w:rPr>
              <w:t xml:space="preserve">9.1.6 </w:t>
            </w:r>
            <w:r>
              <w:rPr>
                <w:rFonts w:hint="eastAsia"/>
                <w:b/>
                <w:color w:val="auto"/>
                <w:sz w:val="24"/>
              </w:rPr>
              <w:t>综合结论</w:t>
            </w:r>
          </w:p>
          <w:p>
            <w:pPr>
              <w:spacing w:line="460" w:lineRule="exact"/>
              <w:ind w:firstLine="480"/>
              <w:rPr>
                <w:color w:val="auto"/>
                <w:sz w:val="24"/>
              </w:rPr>
            </w:pPr>
            <w:r>
              <w:rPr>
                <w:rFonts w:hint="eastAsia"/>
                <w:color w:val="auto"/>
                <w:kern w:val="0"/>
                <w:sz w:val="24"/>
              </w:rPr>
              <w:t>综上所述，儒林</w:t>
            </w:r>
            <w:r>
              <w:rPr>
                <w:color w:val="auto"/>
                <w:kern w:val="0"/>
                <w:sz w:val="24"/>
              </w:rPr>
              <w:t>100MW/200MWh</w:t>
            </w:r>
            <w:r>
              <w:rPr>
                <w:rFonts w:hint="eastAsia"/>
                <w:color w:val="auto"/>
                <w:kern w:val="0"/>
                <w:sz w:val="24"/>
              </w:rPr>
              <w:t>储能电站项目建设项目</w:t>
            </w:r>
            <w:r>
              <w:rPr>
                <w:rFonts w:hint="eastAsia"/>
                <w:color w:val="auto"/>
                <w:sz w:val="24"/>
              </w:rPr>
              <w:t>符合国家产业政策，选址合理，在运行中采取一定的预防和减缓污染措施后，对环境的影响较小。只要在运营过程中加强环保管理，从环保角度分析，本项目的建设是可行的。</w:t>
            </w:r>
          </w:p>
          <w:p>
            <w:pPr>
              <w:spacing w:line="460" w:lineRule="exact"/>
              <w:rPr>
                <w:b/>
                <w:color w:val="auto"/>
                <w:sz w:val="24"/>
              </w:rPr>
            </w:pPr>
            <w:r>
              <w:rPr>
                <w:b/>
                <w:color w:val="auto"/>
                <w:sz w:val="24"/>
              </w:rPr>
              <w:t>9.2</w:t>
            </w:r>
            <w:r>
              <w:rPr>
                <w:rFonts w:hint="eastAsia"/>
                <w:b/>
                <w:color w:val="auto"/>
                <w:sz w:val="24"/>
              </w:rPr>
              <w:t>建议</w:t>
            </w:r>
          </w:p>
          <w:p>
            <w:pPr>
              <w:spacing w:line="460" w:lineRule="exact"/>
              <w:ind w:firstLine="470" w:firstLineChars="196"/>
              <w:rPr>
                <w:color w:val="auto"/>
                <w:sz w:val="24"/>
              </w:rPr>
            </w:pPr>
            <w:r>
              <w:rPr>
                <w:color w:val="auto"/>
                <w:sz w:val="24"/>
              </w:rPr>
              <w:t>1</w:t>
            </w:r>
            <w:r>
              <w:rPr>
                <w:rFonts w:hint="eastAsia"/>
                <w:color w:val="auto"/>
                <w:sz w:val="24"/>
              </w:rPr>
              <w:t>、加强事故油池的管理工作，完善事故油池日常监管机制。严格按照国家危废转移、处置有关规定对变压器废油进行转移、处置。</w:t>
            </w:r>
          </w:p>
          <w:p>
            <w:pPr>
              <w:spacing w:line="460" w:lineRule="exact"/>
              <w:ind w:firstLine="470" w:firstLineChars="196"/>
              <w:rPr>
                <w:color w:val="auto"/>
                <w:sz w:val="24"/>
              </w:rPr>
            </w:pPr>
            <w:r>
              <w:rPr>
                <w:color w:val="auto"/>
                <w:sz w:val="24"/>
              </w:rPr>
              <w:t>2</w:t>
            </w:r>
            <w:r>
              <w:rPr>
                <w:rFonts w:hint="eastAsia"/>
                <w:color w:val="auto"/>
                <w:sz w:val="24"/>
              </w:rPr>
              <w:t>、加强电气设备维护，对存在缺陷的电气设备及时维修或更换，尽可能地降低设备产生的工频电磁场和噪声。</w:t>
            </w:r>
          </w:p>
          <w:p>
            <w:pPr>
              <w:spacing w:line="460" w:lineRule="exact"/>
              <w:ind w:firstLine="480" w:firstLineChars="200"/>
              <w:rPr>
                <w:color w:val="auto"/>
                <w:sz w:val="24"/>
              </w:rPr>
            </w:pPr>
            <w:r>
              <w:rPr>
                <w:color w:val="auto"/>
                <w:sz w:val="24"/>
              </w:rPr>
              <w:t>3</w:t>
            </w:r>
            <w:r>
              <w:rPr>
                <w:rFonts w:hint="eastAsia"/>
                <w:color w:val="auto"/>
                <w:sz w:val="24"/>
              </w:rPr>
              <w:t>、建设单位在运营过程中，应随时听取及收集公众对本项工程建设的意见，充分理解公众对电磁环境影响的担心，及时进行科学宣传和客观解释，积极妥善地处理好各类公众意见，避免有关纠纷事件的发生。</w:t>
            </w: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p>
            <w:pPr>
              <w:spacing w:line="460" w:lineRule="exact"/>
              <w:ind w:firstLine="480" w:firstLineChars="200"/>
              <w:rPr>
                <w:color w:val="auto"/>
                <w:sz w:val="24"/>
              </w:rPr>
            </w:pPr>
          </w:p>
        </w:tc>
      </w:tr>
      <w:bookmarkEnd w:id="46"/>
      <w:bookmarkEnd w:id="47"/>
    </w:tbl>
    <w:p>
      <w:pPr>
        <w:widowControl/>
        <w:jc w:val="left"/>
        <w:rPr>
          <w:color w:val="auto"/>
          <w:sz w:val="24"/>
          <w:szCs w:val="24"/>
        </w:rPr>
      </w:pPr>
    </w:p>
    <w:p>
      <w:pPr>
        <w:widowControl/>
        <w:jc w:val="left"/>
        <w:rPr>
          <w:color w:val="auto"/>
          <w:sz w:val="24"/>
          <w:szCs w:val="24"/>
        </w:rPr>
      </w:pPr>
    </w:p>
    <w:p>
      <w:pPr>
        <w:widowControl/>
        <w:jc w:val="left"/>
        <w:rPr>
          <w:color w:val="auto"/>
          <w:sz w:val="24"/>
          <w:szCs w:val="24"/>
        </w:rPr>
      </w:pPr>
    </w:p>
    <w:p>
      <w:pPr>
        <w:widowControl/>
        <w:jc w:val="left"/>
        <w:rPr>
          <w:color w:val="auto"/>
          <w:sz w:val="24"/>
          <w:szCs w:val="24"/>
        </w:rPr>
      </w:pPr>
    </w:p>
    <w:p>
      <w:pPr>
        <w:widowControl/>
        <w:jc w:val="left"/>
        <w:rPr>
          <w:color w:val="auto"/>
          <w:sz w:val="24"/>
          <w:szCs w:val="24"/>
        </w:rPr>
      </w:pPr>
    </w:p>
    <w:p>
      <w:pPr>
        <w:widowControl/>
        <w:jc w:val="left"/>
        <w:rPr>
          <w:color w:val="auto"/>
          <w:sz w:val="24"/>
          <w:szCs w:val="24"/>
        </w:rPr>
      </w:pPr>
    </w:p>
    <w:p>
      <w:pPr>
        <w:widowControl/>
        <w:jc w:val="left"/>
        <w:rPr>
          <w:color w:val="auto"/>
          <w:sz w:val="24"/>
          <w:szCs w:val="24"/>
        </w:rPr>
      </w:pPr>
    </w:p>
    <w:p>
      <w:pPr>
        <w:widowControl/>
        <w:jc w:val="left"/>
        <w:rPr>
          <w:color w:val="auto"/>
          <w:sz w:val="24"/>
          <w:szCs w:val="24"/>
        </w:rPr>
      </w:pPr>
    </w:p>
    <w:p>
      <w:pPr>
        <w:widowControl/>
        <w:jc w:val="left"/>
        <w:rPr>
          <w:color w:val="auto"/>
          <w:sz w:val="24"/>
          <w:szCs w:val="24"/>
        </w:rPr>
      </w:pPr>
    </w:p>
    <w:p>
      <w:pPr>
        <w:widowControl/>
        <w:jc w:val="left"/>
        <w:rPr>
          <w:color w:val="auto"/>
          <w:sz w:val="24"/>
          <w:szCs w:val="24"/>
        </w:rPr>
      </w:pPr>
    </w:p>
    <w:p>
      <w:pPr>
        <w:widowControl/>
        <w:jc w:val="left"/>
        <w:rPr>
          <w:color w:val="auto"/>
          <w:sz w:val="24"/>
          <w:szCs w:val="24"/>
        </w:rPr>
      </w:pPr>
    </w:p>
    <w:p>
      <w:pPr>
        <w:adjustRightInd w:val="0"/>
        <w:snapToGrid w:val="0"/>
        <w:jc w:val="center"/>
        <w:outlineLvl w:val="0"/>
        <w:rPr>
          <w:b/>
          <w:color w:val="auto"/>
          <w:sz w:val="56"/>
          <w:szCs w:val="56"/>
        </w:rPr>
      </w:pPr>
      <w:bookmarkStart w:id="48" w:name="_Toc40447928"/>
      <w:r>
        <w:rPr>
          <w:rFonts w:hint="eastAsia"/>
          <w:b/>
          <w:color w:val="auto"/>
          <w:sz w:val="56"/>
          <w:szCs w:val="56"/>
        </w:rPr>
        <w:t>电磁环境影响专题评价</w:t>
      </w:r>
      <w:bookmarkEnd w:id="48"/>
    </w:p>
    <w:p>
      <w:pPr>
        <w:widowControl/>
        <w:jc w:val="left"/>
        <w:rPr>
          <w:color w:val="auto"/>
          <w:sz w:val="24"/>
          <w:szCs w:val="24"/>
        </w:rPr>
      </w:pPr>
      <w:r>
        <w:rPr>
          <w:color w:val="auto"/>
          <w:sz w:val="24"/>
          <w:szCs w:val="24"/>
        </w:rPr>
        <w:br w:type="page"/>
      </w:r>
    </w:p>
    <w:p>
      <w:pPr>
        <w:spacing w:line="360" w:lineRule="auto"/>
        <w:rPr>
          <w:b/>
          <w:color w:val="auto"/>
          <w:sz w:val="28"/>
          <w:szCs w:val="24"/>
        </w:rPr>
      </w:pPr>
      <w:r>
        <w:rPr>
          <w:b/>
          <w:color w:val="auto"/>
          <w:sz w:val="28"/>
          <w:szCs w:val="24"/>
        </w:rPr>
        <w:t xml:space="preserve">1 </w:t>
      </w:r>
      <w:r>
        <w:rPr>
          <w:rFonts w:hint="eastAsia"/>
          <w:b/>
          <w:color w:val="auto"/>
          <w:sz w:val="28"/>
          <w:szCs w:val="24"/>
        </w:rPr>
        <w:t>总则</w:t>
      </w:r>
    </w:p>
    <w:p>
      <w:pPr>
        <w:spacing w:line="360" w:lineRule="auto"/>
        <w:rPr>
          <w:b/>
          <w:color w:val="auto"/>
          <w:sz w:val="24"/>
        </w:rPr>
      </w:pPr>
      <w:r>
        <w:rPr>
          <w:b/>
          <w:color w:val="auto"/>
          <w:sz w:val="24"/>
        </w:rPr>
        <w:t>1.1</w:t>
      </w:r>
      <w:r>
        <w:rPr>
          <w:rFonts w:hint="eastAsia"/>
          <w:b/>
          <w:color w:val="auto"/>
          <w:sz w:val="24"/>
        </w:rPr>
        <w:t>评价因子</w:t>
      </w:r>
    </w:p>
    <w:p>
      <w:pPr>
        <w:spacing w:line="360" w:lineRule="auto"/>
        <w:ind w:firstLine="480" w:firstLineChars="200"/>
        <w:rPr>
          <w:color w:val="auto"/>
          <w:sz w:val="24"/>
        </w:rPr>
      </w:pPr>
      <w:r>
        <w:rPr>
          <w:rFonts w:hint="eastAsia"/>
          <w:color w:val="auto"/>
          <w:sz w:val="24"/>
        </w:rPr>
        <w:t>根据《环境影响评价技术导则</w:t>
      </w:r>
      <w:r>
        <w:rPr>
          <w:color w:val="auto"/>
          <w:sz w:val="24"/>
        </w:rPr>
        <w:tab/>
      </w:r>
      <w:r>
        <w:rPr>
          <w:rFonts w:hint="eastAsia"/>
          <w:color w:val="auto"/>
          <w:sz w:val="24"/>
        </w:rPr>
        <w:t>输变电工程》（</w:t>
      </w:r>
      <w:r>
        <w:rPr>
          <w:rFonts w:hint="eastAsia"/>
          <w:color w:val="auto"/>
          <w:sz w:val="24"/>
          <w:lang w:eastAsia="zh-CN"/>
        </w:rPr>
        <w:t>HJ24-2020</w:t>
      </w:r>
      <w:r>
        <w:rPr>
          <w:rFonts w:hint="eastAsia"/>
          <w:color w:val="auto"/>
          <w:sz w:val="24"/>
        </w:rPr>
        <w:t>）表</w:t>
      </w:r>
      <w:r>
        <w:rPr>
          <w:color w:val="auto"/>
          <w:sz w:val="24"/>
        </w:rPr>
        <w:t xml:space="preserve"> 1</w:t>
      </w:r>
      <w:r>
        <w:rPr>
          <w:rFonts w:hint="eastAsia"/>
          <w:color w:val="auto"/>
          <w:sz w:val="24"/>
        </w:rPr>
        <w:t>，电磁环境评价因子为工频电场、工频磁感应强度。</w:t>
      </w:r>
    </w:p>
    <w:p>
      <w:pPr>
        <w:spacing w:line="360" w:lineRule="auto"/>
        <w:rPr>
          <w:b/>
          <w:color w:val="auto"/>
          <w:sz w:val="24"/>
        </w:rPr>
      </w:pPr>
      <w:r>
        <w:rPr>
          <w:b/>
          <w:color w:val="auto"/>
          <w:sz w:val="24"/>
        </w:rPr>
        <w:t xml:space="preserve">1.2 </w:t>
      </w:r>
      <w:r>
        <w:rPr>
          <w:rFonts w:hint="eastAsia"/>
          <w:b/>
          <w:color w:val="auto"/>
          <w:sz w:val="24"/>
        </w:rPr>
        <w:t>评价工作等级</w:t>
      </w:r>
    </w:p>
    <w:p>
      <w:pPr>
        <w:spacing w:line="360" w:lineRule="auto"/>
        <w:ind w:firstLine="480" w:firstLineChars="200"/>
        <w:rPr>
          <w:color w:val="auto"/>
          <w:sz w:val="24"/>
        </w:rPr>
      </w:pPr>
      <w:r>
        <w:rPr>
          <w:rFonts w:hint="eastAsia"/>
          <w:color w:val="auto"/>
          <w:sz w:val="24"/>
        </w:rPr>
        <w:t>根据《环境影响评价技术导则输变电工程》（</w:t>
      </w:r>
      <w:r>
        <w:rPr>
          <w:rFonts w:hint="eastAsia"/>
          <w:color w:val="auto"/>
          <w:sz w:val="24"/>
          <w:lang w:eastAsia="zh-CN"/>
        </w:rPr>
        <w:t>HJ24-2020</w:t>
      </w:r>
      <w:r>
        <w:rPr>
          <w:rFonts w:hint="eastAsia"/>
          <w:color w:val="auto"/>
          <w:sz w:val="24"/>
        </w:rPr>
        <w:t>）要求，详见</w:t>
      </w:r>
      <w:r>
        <w:rPr>
          <w:color w:val="auto"/>
        </w:rPr>
        <w:fldChar w:fldCharType="begin"/>
      </w:r>
      <w:r>
        <w:rPr>
          <w:color w:val="auto"/>
        </w:rPr>
        <w:instrText xml:space="preserve"> REF _Ref35435489 \h  \* MERGEFORMAT </w:instrText>
      </w:r>
      <w:r>
        <w:rPr>
          <w:color w:val="auto"/>
        </w:rPr>
        <w:fldChar w:fldCharType="separate"/>
      </w:r>
      <w:r>
        <w:rPr>
          <w:rFonts w:hint="eastAsia"/>
          <w:color w:val="auto"/>
          <w:sz w:val="24"/>
        </w:rPr>
        <w:t>表</w:t>
      </w:r>
      <w:r>
        <w:rPr>
          <w:rFonts w:hint="eastAsia"/>
          <w:color w:val="auto"/>
          <w:sz w:val="24"/>
        </w:rPr>
        <w:fldChar w:fldCharType="end"/>
      </w:r>
      <w:r>
        <w:rPr>
          <w:color w:val="auto"/>
          <w:sz w:val="24"/>
        </w:rPr>
        <w:t>1</w:t>
      </w:r>
      <w:r>
        <w:rPr>
          <w:rFonts w:hint="eastAsia"/>
          <w:color w:val="auto"/>
          <w:sz w:val="24"/>
        </w:rPr>
        <w:t>。</w:t>
      </w:r>
    </w:p>
    <w:p>
      <w:pPr>
        <w:pStyle w:val="23"/>
        <w:keepNext/>
        <w:spacing w:before="0" w:after="0"/>
        <w:ind w:firstLine="482"/>
        <w:jc w:val="center"/>
        <w:rPr>
          <w:rFonts w:ascii="Times New Roman" w:hAnsi="Times New Roman" w:cs="Times New Roman"/>
          <w:b/>
          <w:color w:val="auto"/>
          <w:szCs w:val="24"/>
        </w:rPr>
      </w:pPr>
      <w:bookmarkStart w:id="49" w:name="_Ref35435489"/>
      <w:r>
        <w:rPr>
          <w:rFonts w:hint="eastAsia" w:ascii="Times New Roman" w:hAnsi="Times New Roman" w:cs="Times New Roman"/>
          <w:b/>
          <w:color w:val="auto"/>
          <w:szCs w:val="24"/>
        </w:rPr>
        <w:t>表</w:t>
      </w:r>
      <w:bookmarkEnd w:id="49"/>
      <w:r>
        <w:rPr>
          <w:rFonts w:ascii="Times New Roman" w:hAnsi="Times New Roman" w:cs="Times New Roman"/>
          <w:b/>
          <w:color w:val="auto"/>
          <w:szCs w:val="24"/>
        </w:rPr>
        <w:t xml:space="preserve">1   </w:t>
      </w:r>
      <w:r>
        <w:rPr>
          <w:rFonts w:hint="eastAsia" w:ascii="Times New Roman" w:hAnsi="Times New Roman" w:cs="Times New Roman"/>
          <w:b/>
          <w:color w:val="auto"/>
          <w:szCs w:val="24"/>
        </w:rPr>
        <w:t>导则表</w:t>
      </w:r>
      <w:r>
        <w:rPr>
          <w:rFonts w:ascii="Times New Roman" w:hAnsi="Times New Roman" w:cs="Times New Roman"/>
          <w:b/>
          <w:color w:val="auto"/>
          <w:szCs w:val="24"/>
        </w:rPr>
        <w:t>2</w:t>
      </w:r>
      <w:r>
        <w:rPr>
          <w:rFonts w:hint="eastAsia" w:ascii="Times New Roman" w:hAnsi="Times New Roman" w:cs="Times New Roman"/>
          <w:b/>
          <w:color w:val="auto"/>
          <w:szCs w:val="24"/>
        </w:rPr>
        <w:t>输变电工程电磁环境影响评价工作等级部分内容</w:t>
      </w:r>
    </w:p>
    <w:tbl>
      <w:tblPr>
        <w:tblStyle w:val="86"/>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95"/>
        <w:gridCol w:w="1200"/>
        <w:gridCol w:w="1006"/>
        <w:gridCol w:w="4968"/>
        <w:gridCol w:w="157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319" w:type="pct"/>
            <w:shd w:val="clear" w:color="auto" w:fill="auto"/>
            <w:vAlign w:val="center"/>
          </w:tcPr>
          <w:p>
            <w:pPr>
              <w:jc w:val="center"/>
              <w:rPr>
                <w:rFonts w:eastAsiaTheme="minorEastAsia"/>
                <w:color w:val="auto"/>
              </w:rPr>
            </w:pPr>
            <w:r>
              <w:rPr>
                <w:rFonts w:hint="eastAsia" w:eastAsiaTheme="minorEastAsia"/>
                <w:color w:val="auto"/>
              </w:rPr>
              <w:t>分类</w:t>
            </w:r>
          </w:p>
        </w:tc>
        <w:tc>
          <w:tcPr>
            <w:tcW w:w="642" w:type="pct"/>
            <w:shd w:val="clear" w:color="auto" w:fill="auto"/>
            <w:vAlign w:val="center"/>
          </w:tcPr>
          <w:p>
            <w:pPr>
              <w:jc w:val="center"/>
              <w:rPr>
                <w:rFonts w:eastAsiaTheme="minorEastAsia"/>
                <w:color w:val="auto"/>
              </w:rPr>
            </w:pPr>
            <w:r>
              <w:rPr>
                <w:rFonts w:hint="eastAsia" w:eastAsiaTheme="minorEastAsia"/>
                <w:color w:val="auto"/>
              </w:rPr>
              <w:t>电压等级</w:t>
            </w:r>
          </w:p>
        </w:tc>
        <w:tc>
          <w:tcPr>
            <w:tcW w:w="538" w:type="pct"/>
            <w:shd w:val="clear" w:color="auto" w:fill="auto"/>
            <w:vAlign w:val="center"/>
          </w:tcPr>
          <w:p>
            <w:pPr>
              <w:jc w:val="center"/>
              <w:rPr>
                <w:rFonts w:eastAsiaTheme="minorEastAsia"/>
                <w:color w:val="auto"/>
              </w:rPr>
            </w:pPr>
            <w:r>
              <w:rPr>
                <w:rFonts w:hint="eastAsia" w:eastAsiaTheme="minorEastAsia"/>
                <w:color w:val="auto"/>
              </w:rPr>
              <w:t>工程</w:t>
            </w:r>
          </w:p>
        </w:tc>
        <w:tc>
          <w:tcPr>
            <w:tcW w:w="2658" w:type="pct"/>
            <w:shd w:val="clear" w:color="auto" w:fill="auto"/>
            <w:vAlign w:val="center"/>
          </w:tcPr>
          <w:p>
            <w:pPr>
              <w:jc w:val="center"/>
              <w:rPr>
                <w:rFonts w:eastAsiaTheme="minorEastAsia"/>
                <w:color w:val="auto"/>
              </w:rPr>
            </w:pPr>
            <w:r>
              <w:rPr>
                <w:rFonts w:hint="eastAsia" w:eastAsiaTheme="minorEastAsia"/>
                <w:color w:val="auto"/>
              </w:rPr>
              <w:t>条件</w:t>
            </w:r>
          </w:p>
        </w:tc>
        <w:tc>
          <w:tcPr>
            <w:tcW w:w="842" w:type="pct"/>
            <w:shd w:val="clear" w:color="auto" w:fill="auto"/>
            <w:vAlign w:val="center"/>
          </w:tcPr>
          <w:p>
            <w:pPr>
              <w:jc w:val="center"/>
              <w:rPr>
                <w:rFonts w:eastAsiaTheme="minorEastAsia"/>
                <w:color w:val="auto"/>
              </w:rPr>
            </w:pPr>
            <w:r>
              <w:rPr>
                <w:rFonts w:hint="eastAsia" w:eastAsiaTheme="minorEastAsia"/>
                <w:color w:val="auto"/>
              </w:rPr>
              <w:t>评价工作等级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6" w:hRule="atLeast"/>
        </w:trPr>
        <w:tc>
          <w:tcPr>
            <w:tcW w:w="319" w:type="pct"/>
            <w:vMerge w:val="restart"/>
            <w:shd w:val="clear" w:color="auto" w:fill="auto"/>
            <w:vAlign w:val="center"/>
          </w:tcPr>
          <w:p>
            <w:pPr>
              <w:jc w:val="center"/>
              <w:rPr>
                <w:rFonts w:eastAsiaTheme="minorEastAsia"/>
                <w:color w:val="auto"/>
              </w:rPr>
            </w:pPr>
            <w:r>
              <w:rPr>
                <w:rFonts w:hint="eastAsia" w:eastAsiaTheme="minorEastAsia"/>
                <w:color w:val="auto"/>
              </w:rPr>
              <w:t>交流</w:t>
            </w:r>
          </w:p>
        </w:tc>
        <w:tc>
          <w:tcPr>
            <w:tcW w:w="642" w:type="pct"/>
            <w:vMerge w:val="restart"/>
            <w:shd w:val="clear" w:color="auto" w:fill="auto"/>
            <w:vAlign w:val="center"/>
          </w:tcPr>
          <w:p>
            <w:pPr>
              <w:jc w:val="center"/>
              <w:rPr>
                <w:rFonts w:eastAsiaTheme="minorEastAsia"/>
                <w:color w:val="auto"/>
              </w:rPr>
            </w:pPr>
            <w:r>
              <w:rPr>
                <w:rFonts w:eastAsiaTheme="minorEastAsia"/>
                <w:color w:val="auto"/>
              </w:rPr>
              <w:t>110kV</w:t>
            </w:r>
          </w:p>
        </w:tc>
        <w:tc>
          <w:tcPr>
            <w:tcW w:w="538" w:type="pct"/>
            <w:vMerge w:val="restart"/>
            <w:shd w:val="clear" w:color="auto" w:fill="auto"/>
            <w:vAlign w:val="center"/>
          </w:tcPr>
          <w:p>
            <w:pPr>
              <w:jc w:val="center"/>
              <w:rPr>
                <w:rFonts w:eastAsiaTheme="minorEastAsia"/>
                <w:color w:val="auto"/>
              </w:rPr>
            </w:pPr>
            <w:r>
              <w:rPr>
                <w:rFonts w:hint="eastAsia" w:eastAsiaTheme="minorEastAsia"/>
                <w:color w:val="auto"/>
              </w:rPr>
              <w:t>变电站</w:t>
            </w:r>
          </w:p>
        </w:tc>
        <w:tc>
          <w:tcPr>
            <w:tcW w:w="2658" w:type="pct"/>
            <w:shd w:val="clear" w:color="auto" w:fill="auto"/>
            <w:vAlign w:val="center"/>
          </w:tcPr>
          <w:p>
            <w:pPr>
              <w:rPr>
                <w:rFonts w:eastAsiaTheme="minorEastAsia"/>
                <w:color w:val="auto"/>
              </w:rPr>
            </w:pPr>
            <w:r>
              <w:rPr>
                <w:rFonts w:hint="eastAsia" w:eastAsiaTheme="minorEastAsia"/>
                <w:color w:val="auto"/>
              </w:rPr>
              <w:t>户内式、地下式</w:t>
            </w:r>
          </w:p>
        </w:tc>
        <w:tc>
          <w:tcPr>
            <w:tcW w:w="842" w:type="pct"/>
            <w:shd w:val="clear" w:color="auto" w:fill="auto"/>
            <w:vAlign w:val="center"/>
          </w:tcPr>
          <w:p>
            <w:pPr>
              <w:jc w:val="center"/>
              <w:rPr>
                <w:rFonts w:eastAsiaTheme="minorEastAsia"/>
                <w:color w:val="auto"/>
              </w:rPr>
            </w:pPr>
            <w:r>
              <w:rPr>
                <w:rFonts w:hint="eastAsia" w:eastAsiaTheme="minorEastAsia"/>
                <w:color w:val="auto"/>
              </w:rPr>
              <w:t>三级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6" w:hRule="atLeast"/>
        </w:trPr>
        <w:tc>
          <w:tcPr>
            <w:tcW w:w="319" w:type="pct"/>
            <w:vMerge w:val="continue"/>
            <w:shd w:val="clear" w:color="auto" w:fill="auto"/>
            <w:vAlign w:val="center"/>
          </w:tcPr>
          <w:p>
            <w:pPr>
              <w:jc w:val="center"/>
              <w:rPr>
                <w:rFonts w:eastAsiaTheme="minorEastAsia"/>
                <w:color w:val="auto"/>
              </w:rPr>
            </w:pPr>
          </w:p>
        </w:tc>
        <w:tc>
          <w:tcPr>
            <w:tcW w:w="642" w:type="pct"/>
            <w:vMerge w:val="continue"/>
            <w:shd w:val="clear" w:color="auto" w:fill="auto"/>
            <w:vAlign w:val="center"/>
          </w:tcPr>
          <w:p>
            <w:pPr>
              <w:jc w:val="center"/>
              <w:rPr>
                <w:rFonts w:eastAsiaTheme="minorEastAsia"/>
                <w:color w:val="auto"/>
              </w:rPr>
            </w:pPr>
          </w:p>
        </w:tc>
        <w:tc>
          <w:tcPr>
            <w:tcW w:w="538" w:type="pct"/>
            <w:vMerge w:val="continue"/>
            <w:shd w:val="clear" w:color="auto" w:fill="auto"/>
            <w:vAlign w:val="center"/>
          </w:tcPr>
          <w:p>
            <w:pPr>
              <w:jc w:val="center"/>
              <w:rPr>
                <w:rFonts w:eastAsiaTheme="minorEastAsia"/>
                <w:color w:val="auto"/>
              </w:rPr>
            </w:pPr>
          </w:p>
        </w:tc>
        <w:tc>
          <w:tcPr>
            <w:tcW w:w="2658" w:type="pct"/>
            <w:shd w:val="clear" w:color="auto" w:fill="auto"/>
            <w:vAlign w:val="center"/>
          </w:tcPr>
          <w:p>
            <w:pPr>
              <w:rPr>
                <w:rFonts w:eastAsiaTheme="minorEastAsia"/>
                <w:color w:val="auto"/>
              </w:rPr>
            </w:pPr>
            <w:r>
              <w:rPr>
                <w:rFonts w:hint="eastAsia" w:eastAsiaTheme="minorEastAsia"/>
                <w:color w:val="auto"/>
              </w:rPr>
              <w:t>户外式</w:t>
            </w:r>
          </w:p>
        </w:tc>
        <w:tc>
          <w:tcPr>
            <w:tcW w:w="842" w:type="pct"/>
            <w:shd w:val="clear" w:color="auto" w:fill="auto"/>
            <w:vAlign w:val="center"/>
          </w:tcPr>
          <w:p>
            <w:pPr>
              <w:jc w:val="center"/>
              <w:rPr>
                <w:rFonts w:eastAsiaTheme="minorEastAsia"/>
                <w:color w:val="auto"/>
              </w:rPr>
            </w:pPr>
            <w:r>
              <w:rPr>
                <w:rFonts w:hint="eastAsia" w:eastAsiaTheme="minorEastAsia"/>
                <w:color w:val="auto"/>
              </w:rPr>
              <w:t>二级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319" w:type="pct"/>
            <w:vMerge w:val="continue"/>
            <w:shd w:val="clear" w:color="auto" w:fill="auto"/>
            <w:vAlign w:val="center"/>
          </w:tcPr>
          <w:p>
            <w:pPr>
              <w:jc w:val="center"/>
              <w:rPr>
                <w:rFonts w:eastAsiaTheme="minorEastAsia"/>
                <w:color w:val="auto"/>
              </w:rPr>
            </w:pPr>
          </w:p>
        </w:tc>
        <w:tc>
          <w:tcPr>
            <w:tcW w:w="642" w:type="pct"/>
            <w:vMerge w:val="continue"/>
            <w:shd w:val="clear" w:color="auto" w:fill="auto"/>
            <w:vAlign w:val="center"/>
          </w:tcPr>
          <w:p>
            <w:pPr>
              <w:jc w:val="center"/>
              <w:rPr>
                <w:rFonts w:eastAsiaTheme="minorEastAsia"/>
                <w:color w:val="auto"/>
              </w:rPr>
            </w:pPr>
          </w:p>
        </w:tc>
        <w:tc>
          <w:tcPr>
            <w:tcW w:w="538" w:type="pct"/>
            <w:vMerge w:val="restart"/>
            <w:shd w:val="clear" w:color="auto" w:fill="auto"/>
            <w:vAlign w:val="center"/>
          </w:tcPr>
          <w:p>
            <w:pPr>
              <w:jc w:val="center"/>
              <w:rPr>
                <w:rFonts w:eastAsiaTheme="minorEastAsia"/>
                <w:color w:val="auto"/>
              </w:rPr>
            </w:pPr>
            <w:r>
              <w:rPr>
                <w:rFonts w:hint="eastAsia" w:eastAsiaTheme="minorEastAsia"/>
                <w:color w:val="auto"/>
              </w:rPr>
              <w:t>输电</w:t>
            </w:r>
          </w:p>
          <w:p>
            <w:pPr>
              <w:jc w:val="center"/>
              <w:rPr>
                <w:rFonts w:eastAsiaTheme="minorEastAsia"/>
                <w:color w:val="auto"/>
              </w:rPr>
            </w:pPr>
            <w:r>
              <w:rPr>
                <w:rFonts w:hint="eastAsia" w:eastAsiaTheme="minorEastAsia"/>
                <w:color w:val="auto"/>
              </w:rPr>
              <w:t>线路</w:t>
            </w:r>
          </w:p>
        </w:tc>
        <w:tc>
          <w:tcPr>
            <w:tcW w:w="2658" w:type="pct"/>
            <w:shd w:val="clear" w:color="auto" w:fill="auto"/>
            <w:vAlign w:val="center"/>
          </w:tcPr>
          <w:p>
            <w:pPr>
              <w:rPr>
                <w:rFonts w:eastAsiaTheme="minorEastAsia"/>
                <w:color w:val="auto"/>
              </w:rPr>
            </w:pPr>
            <w:r>
              <w:rPr>
                <w:rFonts w:eastAsiaTheme="minorEastAsia"/>
                <w:color w:val="auto"/>
              </w:rPr>
              <w:t>1</w:t>
            </w:r>
            <w:r>
              <w:rPr>
                <w:rFonts w:hint="eastAsia" w:eastAsiaTheme="minorEastAsia"/>
                <w:color w:val="auto"/>
              </w:rPr>
              <w:t>、地下电缆</w:t>
            </w:r>
          </w:p>
          <w:p>
            <w:pPr>
              <w:rPr>
                <w:rFonts w:eastAsiaTheme="minorEastAsia"/>
                <w:color w:val="auto"/>
              </w:rPr>
            </w:pPr>
            <w:r>
              <w:rPr>
                <w:rFonts w:eastAsiaTheme="minorEastAsia"/>
                <w:color w:val="auto"/>
              </w:rPr>
              <w:t>2</w:t>
            </w:r>
            <w:r>
              <w:rPr>
                <w:rFonts w:hint="eastAsia" w:eastAsiaTheme="minorEastAsia"/>
                <w:color w:val="auto"/>
              </w:rPr>
              <w:t>、边导线地面投影外两侧各</w:t>
            </w:r>
            <w:r>
              <w:rPr>
                <w:rFonts w:eastAsiaTheme="minorEastAsia"/>
                <w:color w:val="auto"/>
              </w:rPr>
              <w:t>10m</w:t>
            </w:r>
            <w:r>
              <w:rPr>
                <w:rFonts w:hint="eastAsia" w:eastAsiaTheme="minorEastAsia"/>
                <w:color w:val="auto"/>
              </w:rPr>
              <w:t>范围内无电磁环境敏感目标的架空线路</w:t>
            </w:r>
          </w:p>
        </w:tc>
        <w:tc>
          <w:tcPr>
            <w:tcW w:w="842" w:type="pct"/>
            <w:shd w:val="clear" w:color="auto" w:fill="auto"/>
            <w:vAlign w:val="center"/>
          </w:tcPr>
          <w:p>
            <w:pPr>
              <w:jc w:val="center"/>
              <w:rPr>
                <w:rFonts w:eastAsiaTheme="minorEastAsia"/>
                <w:color w:val="auto"/>
              </w:rPr>
            </w:pPr>
            <w:r>
              <w:rPr>
                <w:rFonts w:hint="eastAsia" w:eastAsiaTheme="minorEastAsia"/>
                <w:color w:val="auto"/>
              </w:rPr>
              <w:t>三级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319" w:type="pct"/>
            <w:vMerge w:val="continue"/>
            <w:shd w:val="clear" w:color="auto" w:fill="auto"/>
            <w:vAlign w:val="center"/>
          </w:tcPr>
          <w:p>
            <w:pPr>
              <w:jc w:val="center"/>
              <w:rPr>
                <w:rFonts w:eastAsiaTheme="minorEastAsia"/>
                <w:color w:val="auto"/>
              </w:rPr>
            </w:pPr>
          </w:p>
        </w:tc>
        <w:tc>
          <w:tcPr>
            <w:tcW w:w="642" w:type="pct"/>
            <w:vMerge w:val="continue"/>
            <w:shd w:val="clear" w:color="auto" w:fill="auto"/>
            <w:vAlign w:val="center"/>
          </w:tcPr>
          <w:p>
            <w:pPr>
              <w:jc w:val="center"/>
              <w:rPr>
                <w:rFonts w:eastAsiaTheme="minorEastAsia"/>
                <w:color w:val="auto"/>
              </w:rPr>
            </w:pPr>
          </w:p>
        </w:tc>
        <w:tc>
          <w:tcPr>
            <w:tcW w:w="538" w:type="pct"/>
            <w:vMerge w:val="continue"/>
            <w:shd w:val="clear" w:color="auto" w:fill="auto"/>
            <w:vAlign w:val="center"/>
          </w:tcPr>
          <w:p>
            <w:pPr>
              <w:jc w:val="center"/>
              <w:rPr>
                <w:rFonts w:eastAsiaTheme="minorEastAsia"/>
                <w:color w:val="auto"/>
              </w:rPr>
            </w:pPr>
          </w:p>
        </w:tc>
        <w:tc>
          <w:tcPr>
            <w:tcW w:w="2658" w:type="pct"/>
            <w:shd w:val="clear" w:color="auto" w:fill="auto"/>
            <w:vAlign w:val="center"/>
          </w:tcPr>
          <w:p>
            <w:pPr>
              <w:rPr>
                <w:rFonts w:eastAsiaTheme="minorEastAsia"/>
                <w:color w:val="auto"/>
              </w:rPr>
            </w:pPr>
            <w:r>
              <w:rPr>
                <w:rFonts w:hint="eastAsia" w:eastAsiaTheme="minorEastAsia"/>
                <w:color w:val="auto"/>
              </w:rPr>
              <w:t>边导线地面投影外两侧各</w:t>
            </w:r>
            <w:r>
              <w:rPr>
                <w:rFonts w:eastAsiaTheme="minorEastAsia"/>
                <w:color w:val="auto"/>
              </w:rPr>
              <w:t>10m</w:t>
            </w:r>
            <w:r>
              <w:rPr>
                <w:rFonts w:hint="eastAsia" w:eastAsiaTheme="minorEastAsia"/>
                <w:color w:val="auto"/>
              </w:rPr>
              <w:t>范围内有电磁环境敏感目标的架空线路</w:t>
            </w:r>
          </w:p>
        </w:tc>
        <w:tc>
          <w:tcPr>
            <w:tcW w:w="842" w:type="pct"/>
            <w:shd w:val="clear" w:color="auto" w:fill="auto"/>
            <w:vAlign w:val="center"/>
          </w:tcPr>
          <w:p>
            <w:pPr>
              <w:jc w:val="center"/>
              <w:rPr>
                <w:rFonts w:eastAsiaTheme="minorEastAsia"/>
                <w:color w:val="auto"/>
              </w:rPr>
            </w:pPr>
            <w:r>
              <w:rPr>
                <w:rFonts w:hint="eastAsia" w:eastAsiaTheme="minorEastAsia"/>
                <w:color w:val="auto"/>
              </w:rPr>
              <w:t>二级</w:t>
            </w:r>
          </w:p>
        </w:tc>
      </w:tr>
    </w:tbl>
    <w:p>
      <w:pPr>
        <w:spacing w:line="360" w:lineRule="auto"/>
        <w:ind w:firstLine="480" w:firstLineChars="200"/>
        <w:rPr>
          <w:color w:val="auto"/>
          <w:sz w:val="24"/>
        </w:rPr>
      </w:pPr>
      <w:r>
        <w:rPr>
          <w:rFonts w:hint="eastAsia"/>
          <w:color w:val="auto"/>
          <w:sz w:val="24"/>
        </w:rPr>
        <w:t>同时根据评价单位现场调查，确定本次评价等级，详见</w:t>
      </w:r>
      <w:r>
        <w:rPr>
          <w:color w:val="auto"/>
        </w:rPr>
        <w:fldChar w:fldCharType="begin"/>
      </w:r>
      <w:r>
        <w:rPr>
          <w:color w:val="auto"/>
        </w:rPr>
        <w:instrText xml:space="preserve"> REF _Ref35435504 \h  \* MERGEFORMAT </w:instrText>
      </w:r>
      <w:r>
        <w:rPr>
          <w:color w:val="auto"/>
        </w:rPr>
        <w:fldChar w:fldCharType="separate"/>
      </w:r>
      <w:r>
        <w:rPr>
          <w:rFonts w:hint="eastAsia" w:eastAsiaTheme="minorEastAsia"/>
          <w:color w:val="auto"/>
          <w:sz w:val="24"/>
          <w:szCs w:val="24"/>
        </w:rPr>
        <w:t>表</w:t>
      </w:r>
      <w:r>
        <w:rPr>
          <w:rFonts w:hint="eastAsia" w:eastAsiaTheme="minorEastAsia"/>
          <w:color w:val="auto"/>
          <w:sz w:val="24"/>
          <w:szCs w:val="24"/>
        </w:rPr>
        <w:fldChar w:fldCharType="end"/>
      </w:r>
      <w:r>
        <w:rPr>
          <w:rFonts w:hint="eastAsia"/>
          <w:color w:val="auto"/>
          <w:sz w:val="24"/>
        </w:rPr>
        <w:t>。</w:t>
      </w:r>
    </w:p>
    <w:p>
      <w:pPr>
        <w:spacing w:line="360" w:lineRule="auto"/>
        <w:ind w:firstLine="482" w:firstLineChars="200"/>
        <w:jc w:val="center"/>
        <w:rPr>
          <w:rFonts w:eastAsia="黑体"/>
          <w:b/>
          <w:color w:val="auto"/>
          <w:sz w:val="24"/>
        </w:rPr>
      </w:pPr>
      <w:bookmarkStart w:id="50" w:name="_Ref35435504"/>
      <w:r>
        <w:rPr>
          <w:rFonts w:hint="eastAsia" w:eastAsiaTheme="minorEastAsia"/>
          <w:b/>
          <w:color w:val="auto"/>
          <w:sz w:val="24"/>
          <w:szCs w:val="24"/>
        </w:rPr>
        <w:t>表</w:t>
      </w:r>
      <w:bookmarkEnd w:id="50"/>
      <w:r>
        <w:rPr>
          <w:rFonts w:eastAsiaTheme="minorEastAsia"/>
          <w:b/>
          <w:color w:val="auto"/>
          <w:sz w:val="24"/>
          <w:szCs w:val="24"/>
        </w:rPr>
        <w:t xml:space="preserve">2  </w:t>
      </w:r>
      <w:r>
        <w:rPr>
          <w:rFonts w:hint="eastAsia" w:eastAsia="黑体"/>
          <w:b/>
          <w:color w:val="auto"/>
          <w:sz w:val="24"/>
        </w:rPr>
        <w:t>本工程评价工作等级</w:t>
      </w:r>
    </w:p>
    <w:tbl>
      <w:tblPr>
        <w:tblStyle w:val="86"/>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12"/>
        <w:gridCol w:w="1510"/>
        <w:gridCol w:w="1209"/>
        <w:gridCol w:w="2871"/>
        <w:gridCol w:w="1420"/>
        <w:gridCol w:w="142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6" w:hRule="atLeast"/>
        </w:trPr>
        <w:tc>
          <w:tcPr>
            <w:tcW w:w="488" w:type="pct"/>
            <w:vAlign w:val="center"/>
          </w:tcPr>
          <w:p>
            <w:pPr>
              <w:keepNext/>
              <w:jc w:val="center"/>
              <w:outlineLvl w:val="0"/>
              <w:rPr>
                <w:rFonts w:eastAsiaTheme="minorEastAsia"/>
                <w:color w:val="auto"/>
                <w:szCs w:val="21"/>
              </w:rPr>
            </w:pPr>
            <w:r>
              <w:rPr>
                <w:rFonts w:hint="eastAsia" w:eastAsiaTheme="minorEastAsia"/>
                <w:color w:val="auto"/>
                <w:szCs w:val="21"/>
              </w:rPr>
              <w:t>分类</w:t>
            </w:r>
          </w:p>
        </w:tc>
        <w:tc>
          <w:tcPr>
            <w:tcW w:w="808" w:type="pct"/>
            <w:vAlign w:val="center"/>
          </w:tcPr>
          <w:p>
            <w:pPr>
              <w:keepNext/>
              <w:jc w:val="center"/>
              <w:outlineLvl w:val="0"/>
              <w:rPr>
                <w:rFonts w:eastAsiaTheme="minorEastAsia"/>
                <w:color w:val="auto"/>
                <w:szCs w:val="21"/>
              </w:rPr>
            </w:pPr>
            <w:r>
              <w:rPr>
                <w:rFonts w:hint="eastAsia" w:eastAsiaTheme="minorEastAsia"/>
                <w:color w:val="auto"/>
                <w:szCs w:val="21"/>
              </w:rPr>
              <w:t>电压等级</w:t>
            </w:r>
          </w:p>
        </w:tc>
        <w:tc>
          <w:tcPr>
            <w:tcW w:w="647" w:type="pct"/>
            <w:vAlign w:val="center"/>
          </w:tcPr>
          <w:p>
            <w:pPr>
              <w:keepNext/>
              <w:jc w:val="center"/>
              <w:outlineLvl w:val="0"/>
              <w:rPr>
                <w:rFonts w:eastAsiaTheme="minorEastAsia"/>
                <w:color w:val="auto"/>
                <w:szCs w:val="21"/>
              </w:rPr>
            </w:pPr>
            <w:r>
              <w:rPr>
                <w:rFonts w:hint="eastAsia" w:eastAsiaTheme="minorEastAsia"/>
                <w:color w:val="auto"/>
                <w:szCs w:val="21"/>
              </w:rPr>
              <w:t>工程</w:t>
            </w:r>
          </w:p>
        </w:tc>
        <w:tc>
          <w:tcPr>
            <w:tcW w:w="1536" w:type="pct"/>
            <w:vAlign w:val="center"/>
          </w:tcPr>
          <w:p>
            <w:pPr>
              <w:keepNext/>
              <w:jc w:val="center"/>
              <w:outlineLvl w:val="0"/>
              <w:rPr>
                <w:rFonts w:eastAsiaTheme="minorEastAsia"/>
                <w:color w:val="auto"/>
                <w:szCs w:val="21"/>
              </w:rPr>
            </w:pPr>
            <w:r>
              <w:rPr>
                <w:rFonts w:hint="eastAsia" w:eastAsiaTheme="minorEastAsia"/>
                <w:color w:val="auto"/>
                <w:szCs w:val="21"/>
              </w:rPr>
              <w:t>本项目条件</w:t>
            </w:r>
          </w:p>
        </w:tc>
        <w:tc>
          <w:tcPr>
            <w:tcW w:w="760" w:type="pct"/>
            <w:vAlign w:val="center"/>
          </w:tcPr>
          <w:p>
            <w:pPr>
              <w:keepNext/>
              <w:jc w:val="center"/>
              <w:outlineLvl w:val="0"/>
              <w:rPr>
                <w:rFonts w:eastAsiaTheme="minorEastAsia"/>
                <w:color w:val="auto"/>
                <w:szCs w:val="21"/>
              </w:rPr>
            </w:pPr>
            <w:r>
              <w:rPr>
                <w:rFonts w:hint="eastAsia" w:eastAsiaTheme="minorEastAsia"/>
                <w:color w:val="auto"/>
                <w:szCs w:val="21"/>
              </w:rPr>
              <w:t>评价等级</w:t>
            </w:r>
          </w:p>
        </w:tc>
        <w:tc>
          <w:tcPr>
            <w:tcW w:w="760" w:type="pct"/>
            <w:vAlign w:val="center"/>
          </w:tcPr>
          <w:p>
            <w:pPr>
              <w:keepNext/>
              <w:jc w:val="center"/>
              <w:outlineLvl w:val="0"/>
              <w:rPr>
                <w:rFonts w:eastAsiaTheme="minorEastAsia"/>
                <w:color w:val="auto"/>
                <w:szCs w:val="21"/>
              </w:rPr>
            </w:pPr>
            <w:r>
              <w:rPr>
                <w:rFonts w:hint="eastAsia" w:eastAsiaTheme="minorEastAsia"/>
                <w:color w:val="auto"/>
                <w:szCs w:val="21"/>
              </w:rPr>
              <w:t>预测方法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1" w:hRule="atLeast"/>
        </w:trPr>
        <w:tc>
          <w:tcPr>
            <w:tcW w:w="488" w:type="pct"/>
            <w:vMerge w:val="restart"/>
            <w:vAlign w:val="center"/>
          </w:tcPr>
          <w:p>
            <w:pPr>
              <w:keepNext/>
              <w:jc w:val="center"/>
              <w:outlineLvl w:val="0"/>
              <w:rPr>
                <w:rFonts w:eastAsiaTheme="minorEastAsia"/>
                <w:color w:val="auto"/>
                <w:szCs w:val="21"/>
              </w:rPr>
            </w:pPr>
            <w:r>
              <w:rPr>
                <w:rFonts w:hint="eastAsia" w:eastAsiaTheme="minorEastAsia"/>
                <w:color w:val="auto"/>
                <w:szCs w:val="21"/>
              </w:rPr>
              <w:t>交流</w:t>
            </w:r>
          </w:p>
        </w:tc>
        <w:tc>
          <w:tcPr>
            <w:tcW w:w="808" w:type="pct"/>
            <w:vMerge w:val="restart"/>
            <w:vAlign w:val="center"/>
          </w:tcPr>
          <w:p>
            <w:pPr>
              <w:keepNext/>
              <w:jc w:val="center"/>
              <w:outlineLvl w:val="0"/>
              <w:rPr>
                <w:rFonts w:eastAsiaTheme="minorEastAsia"/>
                <w:color w:val="auto"/>
                <w:szCs w:val="21"/>
              </w:rPr>
            </w:pPr>
            <w:r>
              <w:rPr>
                <w:rFonts w:eastAsiaTheme="minorEastAsia"/>
                <w:color w:val="auto"/>
                <w:szCs w:val="21"/>
              </w:rPr>
              <w:t>110kV</w:t>
            </w:r>
          </w:p>
        </w:tc>
        <w:tc>
          <w:tcPr>
            <w:tcW w:w="647" w:type="pct"/>
            <w:vAlign w:val="center"/>
          </w:tcPr>
          <w:p>
            <w:pPr>
              <w:keepNext/>
              <w:jc w:val="center"/>
              <w:outlineLvl w:val="0"/>
              <w:rPr>
                <w:rFonts w:eastAsiaTheme="minorEastAsia"/>
                <w:color w:val="auto"/>
                <w:szCs w:val="21"/>
              </w:rPr>
            </w:pPr>
            <w:r>
              <w:rPr>
                <w:rFonts w:hint="eastAsia" w:eastAsiaTheme="minorEastAsia"/>
                <w:color w:val="auto"/>
                <w:szCs w:val="21"/>
              </w:rPr>
              <w:t>变电站</w:t>
            </w:r>
          </w:p>
        </w:tc>
        <w:tc>
          <w:tcPr>
            <w:tcW w:w="1536" w:type="pct"/>
            <w:vAlign w:val="center"/>
          </w:tcPr>
          <w:p>
            <w:pPr>
              <w:keepNext/>
              <w:jc w:val="center"/>
              <w:outlineLvl w:val="0"/>
              <w:rPr>
                <w:rFonts w:eastAsiaTheme="minorEastAsia"/>
                <w:color w:val="auto"/>
                <w:szCs w:val="21"/>
              </w:rPr>
            </w:pPr>
            <w:r>
              <w:rPr>
                <w:rFonts w:hint="eastAsia" w:eastAsiaTheme="minorEastAsia"/>
                <w:color w:val="auto"/>
                <w:szCs w:val="21"/>
              </w:rPr>
              <w:t>户内式</w:t>
            </w:r>
          </w:p>
        </w:tc>
        <w:tc>
          <w:tcPr>
            <w:tcW w:w="760" w:type="pct"/>
            <w:vAlign w:val="center"/>
          </w:tcPr>
          <w:p>
            <w:pPr>
              <w:keepNext/>
              <w:jc w:val="center"/>
              <w:outlineLvl w:val="0"/>
              <w:rPr>
                <w:rFonts w:eastAsiaTheme="minorEastAsia"/>
                <w:color w:val="auto"/>
                <w:szCs w:val="21"/>
              </w:rPr>
            </w:pPr>
            <w:r>
              <w:rPr>
                <w:rFonts w:hint="eastAsia" w:eastAsiaTheme="minorEastAsia"/>
                <w:color w:val="auto"/>
                <w:szCs w:val="21"/>
              </w:rPr>
              <w:t>三级</w:t>
            </w:r>
          </w:p>
        </w:tc>
        <w:tc>
          <w:tcPr>
            <w:tcW w:w="760" w:type="pct"/>
            <w:vAlign w:val="center"/>
          </w:tcPr>
          <w:p>
            <w:pPr>
              <w:keepNext/>
              <w:jc w:val="center"/>
              <w:outlineLvl w:val="0"/>
              <w:rPr>
                <w:rFonts w:eastAsiaTheme="minorEastAsia"/>
                <w:color w:val="auto"/>
                <w:szCs w:val="21"/>
              </w:rPr>
            </w:pPr>
            <w:r>
              <w:rPr>
                <w:rFonts w:hint="eastAsia" w:eastAsiaTheme="minorEastAsia"/>
                <w:color w:val="auto"/>
                <w:szCs w:val="21"/>
              </w:rPr>
              <w:t>类比分析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1" w:hRule="atLeast"/>
        </w:trPr>
        <w:tc>
          <w:tcPr>
            <w:tcW w:w="488" w:type="pct"/>
            <w:vMerge w:val="continue"/>
            <w:vAlign w:val="center"/>
          </w:tcPr>
          <w:p>
            <w:pPr>
              <w:keepNext/>
              <w:jc w:val="center"/>
              <w:outlineLvl w:val="0"/>
              <w:rPr>
                <w:rFonts w:eastAsiaTheme="minorEastAsia"/>
                <w:color w:val="auto"/>
                <w:szCs w:val="21"/>
              </w:rPr>
            </w:pPr>
          </w:p>
        </w:tc>
        <w:tc>
          <w:tcPr>
            <w:tcW w:w="808" w:type="pct"/>
            <w:vMerge w:val="continue"/>
            <w:vAlign w:val="center"/>
          </w:tcPr>
          <w:p>
            <w:pPr>
              <w:keepNext/>
              <w:jc w:val="center"/>
              <w:outlineLvl w:val="0"/>
              <w:rPr>
                <w:rFonts w:eastAsiaTheme="minorEastAsia"/>
                <w:color w:val="auto"/>
                <w:szCs w:val="21"/>
              </w:rPr>
            </w:pPr>
          </w:p>
        </w:tc>
        <w:tc>
          <w:tcPr>
            <w:tcW w:w="647" w:type="pct"/>
            <w:vAlign w:val="center"/>
          </w:tcPr>
          <w:p>
            <w:pPr>
              <w:keepNext/>
              <w:jc w:val="center"/>
              <w:outlineLvl w:val="0"/>
              <w:rPr>
                <w:rFonts w:eastAsiaTheme="minorEastAsia"/>
                <w:color w:val="auto"/>
                <w:szCs w:val="21"/>
              </w:rPr>
            </w:pPr>
            <w:r>
              <w:rPr>
                <w:rFonts w:hint="eastAsia" w:eastAsiaTheme="minorEastAsia"/>
                <w:color w:val="auto"/>
                <w:szCs w:val="21"/>
              </w:rPr>
              <w:t>输电线路</w:t>
            </w:r>
          </w:p>
        </w:tc>
        <w:tc>
          <w:tcPr>
            <w:tcW w:w="1536" w:type="pct"/>
            <w:vAlign w:val="center"/>
          </w:tcPr>
          <w:p>
            <w:pPr>
              <w:keepNext/>
              <w:jc w:val="center"/>
              <w:outlineLvl w:val="0"/>
              <w:rPr>
                <w:rFonts w:eastAsiaTheme="minorEastAsia"/>
                <w:color w:val="auto"/>
                <w:szCs w:val="21"/>
              </w:rPr>
            </w:pPr>
            <w:r>
              <w:rPr>
                <w:rFonts w:hint="eastAsia" w:eastAsiaTheme="minorEastAsia"/>
                <w:color w:val="auto"/>
                <w:szCs w:val="21"/>
              </w:rPr>
              <w:t>架空输电线路</w:t>
            </w:r>
          </w:p>
        </w:tc>
        <w:tc>
          <w:tcPr>
            <w:tcW w:w="760" w:type="pct"/>
            <w:vAlign w:val="center"/>
          </w:tcPr>
          <w:p>
            <w:pPr>
              <w:keepNext/>
              <w:jc w:val="center"/>
              <w:outlineLvl w:val="0"/>
              <w:rPr>
                <w:rFonts w:eastAsiaTheme="minorEastAsia"/>
                <w:color w:val="auto"/>
                <w:szCs w:val="21"/>
              </w:rPr>
            </w:pPr>
            <w:r>
              <w:rPr>
                <w:rFonts w:hint="eastAsia" w:eastAsiaTheme="minorEastAsia"/>
                <w:color w:val="auto"/>
                <w:szCs w:val="21"/>
              </w:rPr>
              <w:t>三级</w:t>
            </w:r>
          </w:p>
        </w:tc>
        <w:tc>
          <w:tcPr>
            <w:tcW w:w="760" w:type="pct"/>
            <w:vAlign w:val="center"/>
          </w:tcPr>
          <w:p>
            <w:pPr>
              <w:keepNext/>
              <w:jc w:val="center"/>
              <w:outlineLvl w:val="0"/>
              <w:rPr>
                <w:rFonts w:eastAsiaTheme="minorEastAsia"/>
                <w:color w:val="auto"/>
                <w:szCs w:val="21"/>
              </w:rPr>
            </w:pPr>
            <w:r>
              <w:rPr>
                <w:rFonts w:hint="eastAsia" w:eastAsiaTheme="minorEastAsia"/>
                <w:color w:val="auto"/>
                <w:szCs w:val="21"/>
              </w:rPr>
              <w:t>模式预测</w:t>
            </w:r>
          </w:p>
        </w:tc>
      </w:tr>
    </w:tbl>
    <w:p>
      <w:pPr>
        <w:spacing w:line="360" w:lineRule="auto"/>
        <w:ind w:firstLine="480"/>
        <w:rPr>
          <w:color w:val="auto"/>
          <w:sz w:val="24"/>
        </w:rPr>
      </w:pPr>
      <w:r>
        <w:rPr>
          <w:rFonts w:hint="eastAsia"/>
          <w:color w:val="auto"/>
          <w:sz w:val="24"/>
        </w:rPr>
        <w:t>综合考虑，本工程电磁环评影响评价等级为应为三级。</w:t>
      </w:r>
    </w:p>
    <w:p>
      <w:pPr>
        <w:spacing w:line="360" w:lineRule="auto"/>
        <w:rPr>
          <w:b/>
          <w:color w:val="auto"/>
          <w:sz w:val="24"/>
        </w:rPr>
      </w:pPr>
      <w:r>
        <w:rPr>
          <w:b/>
          <w:color w:val="auto"/>
          <w:sz w:val="24"/>
        </w:rPr>
        <w:t xml:space="preserve">1.3 </w:t>
      </w:r>
      <w:r>
        <w:rPr>
          <w:rFonts w:hint="eastAsia"/>
          <w:b/>
          <w:color w:val="auto"/>
          <w:sz w:val="24"/>
        </w:rPr>
        <w:t>评价范围</w:t>
      </w:r>
    </w:p>
    <w:p>
      <w:pPr>
        <w:spacing w:line="360" w:lineRule="auto"/>
        <w:ind w:firstLine="480"/>
        <w:rPr>
          <w:rFonts w:eastAsiaTheme="minorEastAsia"/>
          <w:color w:val="auto"/>
          <w:sz w:val="24"/>
        </w:rPr>
      </w:pPr>
      <w:r>
        <w:rPr>
          <w:rFonts w:hint="eastAsia" w:eastAsiaTheme="minorEastAsia"/>
          <w:color w:val="auto"/>
          <w:sz w:val="24"/>
        </w:rPr>
        <w:t>根据《环境影响评价技术导则输变电工程》（</w:t>
      </w:r>
      <w:r>
        <w:rPr>
          <w:rFonts w:hint="eastAsia" w:eastAsiaTheme="minorEastAsia"/>
          <w:color w:val="auto"/>
          <w:sz w:val="24"/>
          <w:lang w:eastAsia="zh-CN"/>
        </w:rPr>
        <w:t>HJ24-2020</w:t>
      </w:r>
      <w:r>
        <w:rPr>
          <w:rFonts w:hint="eastAsia" w:eastAsiaTheme="minorEastAsia"/>
          <w:color w:val="auto"/>
          <w:sz w:val="24"/>
        </w:rPr>
        <w:t>）表</w:t>
      </w:r>
      <w:r>
        <w:rPr>
          <w:rFonts w:eastAsiaTheme="minorEastAsia"/>
          <w:color w:val="auto"/>
          <w:sz w:val="24"/>
        </w:rPr>
        <w:t>3</w:t>
      </w:r>
      <w:r>
        <w:rPr>
          <w:rFonts w:hint="eastAsia" w:eastAsiaTheme="minorEastAsia"/>
          <w:color w:val="auto"/>
          <w:sz w:val="24"/>
        </w:rPr>
        <w:t>，本储能变电站工程评价范围：站界外</w:t>
      </w:r>
      <w:r>
        <w:rPr>
          <w:rFonts w:eastAsiaTheme="minorEastAsia"/>
          <w:color w:val="auto"/>
          <w:sz w:val="24"/>
        </w:rPr>
        <w:t>30m</w:t>
      </w:r>
      <w:r>
        <w:rPr>
          <w:rFonts w:hint="eastAsia" w:eastAsiaTheme="minorEastAsia"/>
          <w:color w:val="auto"/>
          <w:sz w:val="24"/>
        </w:rPr>
        <w:t>范围区域内；架空线路边导线地面投影外两侧各</w:t>
      </w:r>
      <w:r>
        <w:rPr>
          <w:rFonts w:eastAsiaTheme="minorEastAsia"/>
          <w:color w:val="auto"/>
          <w:sz w:val="24"/>
        </w:rPr>
        <w:t>30m</w:t>
      </w:r>
      <w:r>
        <w:rPr>
          <w:rFonts w:hint="eastAsia" w:eastAsiaTheme="minorEastAsia"/>
          <w:color w:val="auto"/>
          <w:sz w:val="24"/>
        </w:rPr>
        <w:t>。</w:t>
      </w:r>
    </w:p>
    <w:p>
      <w:pPr>
        <w:spacing w:line="360" w:lineRule="auto"/>
        <w:rPr>
          <w:b/>
          <w:color w:val="auto"/>
          <w:sz w:val="24"/>
        </w:rPr>
      </w:pPr>
      <w:r>
        <w:rPr>
          <w:b/>
          <w:color w:val="auto"/>
          <w:sz w:val="24"/>
        </w:rPr>
        <w:t xml:space="preserve">1.4 </w:t>
      </w:r>
      <w:r>
        <w:rPr>
          <w:rFonts w:hint="eastAsia"/>
          <w:b/>
          <w:color w:val="auto"/>
          <w:sz w:val="24"/>
        </w:rPr>
        <w:t>评价标准</w:t>
      </w:r>
    </w:p>
    <w:p>
      <w:pPr>
        <w:spacing w:line="360" w:lineRule="auto"/>
        <w:ind w:firstLine="480" w:firstLineChars="200"/>
        <w:rPr>
          <w:color w:val="auto"/>
          <w:sz w:val="24"/>
          <w:szCs w:val="24"/>
        </w:rPr>
      </w:pPr>
      <w:r>
        <w:rPr>
          <w:rFonts w:hint="eastAsia"/>
          <w:color w:val="auto"/>
          <w:sz w:val="24"/>
        </w:rPr>
        <w:t>电磁环境执行《电磁环境控制限值》（</w:t>
      </w:r>
      <w:r>
        <w:rPr>
          <w:color w:val="auto"/>
          <w:sz w:val="24"/>
        </w:rPr>
        <w:t>GB8702</w:t>
      </w:r>
      <w:r>
        <w:rPr>
          <w:rFonts w:hint="eastAsia"/>
          <w:color w:val="auto"/>
          <w:sz w:val="24"/>
        </w:rPr>
        <w:t>－</w:t>
      </w:r>
      <w:r>
        <w:rPr>
          <w:color w:val="auto"/>
          <w:sz w:val="24"/>
        </w:rPr>
        <w:t>2014</w:t>
      </w:r>
      <w:r>
        <w:rPr>
          <w:rFonts w:hint="eastAsia"/>
          <w:color w:val="auto"/>
          <w:sz w:val="24"/>
        </w:rPr>
        <w:t>）</w:t>
      </w:r>
      <w:r>
        <w:rPr>
          <w:rFonts w:hint="eastAsia"/>
          <w:color w:val="auto"/>
          <w:sz w:val="24"/>
          <w:szCs w:val="24"/>
        </w:rPr>
        <w:t>中</w:t>
      </w:r>
      <w:r>
        <w:rPr>
          <w:color w:val="auto"/>
          <w:sz w:val="24"/>
          <w:szCs w:val="24"/>
        </w:rPr>
        <w:t>50Hz</w:t>
      </w:r>
      <w:r>
        <w:rPr>
          <w:rFonts w:hint="eastAsia"/>
          <w:color w:val="auto"/>
          <w:sz w:val="24"/>
          <w:szCs w:val="24"/>
        </w:rPr>
        <w:t>对应的公众曝露控制限值，即工频电场强度限值为：</w:t>
      </w:r>
      <w:r>
        <w:rPr>
          <w:color w:val="auto"/>
          <w:sz w:val="24"/>
          <w:szCs w:val="24"/>
        </w:rPr>
        <w:t>4000V/m</w:t>
      </w:r>
      <w:r>
        <w:rPr>
          <w:rFonts w:hint="eastAsia"/>
          <w:color w:val="auto"/>
          <w:sz w:val="24"/>
          <w:szCs w:val="24"/>
        </w:rPr>
        <w:t>；工频磁感应强度限值为：</w:t>
      </w:r>
      <w:r>
        <w:rPr>
          <w:color w:val="auto"/>
          <w:sz w:val="24"/>
          <w:szCs w:val="24"/>
        </w:rPr>
        <w:t>100μT</w:t>
      </w:r>
      <w:r>
        <w:rPr>
          <w:rFonts w:hint="eastAsia"/>
          <w:color w:val="auto"/>
          <w:sz w:val="24"/>
          <w:szCs w:val="24"/>
        </w:rPr>
        <w:t>。</w:t>
      </w:r>
    </w:p>
    <w:p>
      <w:pPr>
        <w:spacing w:line="360" w:lineRule="auto"/>
        <w:rPr>
          <w:b/>
          <w:color w:val="auto"/>
          <w:sz w:val="24"/>
        </w:rPr>
      </w:pPr>
      <w:r>
        <w:rPr>
          <w:b/>
          <w:color w:val="auto"/>
          <w:sz w:val="24"/>
        </w:rPr>
        <w:t xml:space="preserve">1.5 </w:t>
      </w:r>
      <w:r>
        <w:rPr>
          <w:rFonts w:hint="eastAsia"/>
          <w:b/>
          <w:color w:val="auto"/>
          <w:sz w:val="24"/>
        </w:rPr>
        <w:t>环境保护目标</w:t>
      </w:r>
    </w:p>
    <w:p>
      <w:pPr>
        <w:spacing w:line="360" w:lineRule="auto"/>
        <w:ind w:firstLine="480" w:firstLineChars="200"/>
        <w:rPr>
          <w:color w:val="auto"/>
          <w:sz w:val="24"/>
        </w:rPr>
      </w:pPr>
      <w:r>
        <w:rPr>
          <w:rFonts w:hint="eastAsia"/>
          <w:color w:val="auto"/>
          <w:sz w:val="24"/>
        </w:rPr>
        <w:t>本工程电磁环境保护目标为评价范围内居住、办公等人类活动场所，本储能电站评价范围内无电磁环境保护目标。</w:t>
      </w:r>
      <w:r>
        <w:rPr>
          <w:color w:val="auto"/>
          <w:sz w:val="24"/>
        </w:rPr>
        <w:t xml:space="preserve"> </w:t>
      </w:r>
    </w:p>
    <w:p>
      <w:pPr>
        <w:spacing w:line="360" w:lineRule="auto"/>
        <w:rPr>
          <w:b/>
          <w:color w:val="auto"/>
          <w:sz w:val="24"/>
        </w:rPr>
      </w:pPr>
      <w:r>
        <w:rPr>
          <w:b/>
          <w:color w:val="auto"/>
          <w:sz w:val="24"/>
        </w:rPr>
        <w:t xml:space="preserve">2 </w:t>
      </w:r>
      <w:r>
        <w:rPr>
          <w:rFonts w:hint="eastAsia"/>
          <w:b/>
          <w:color w:val="auto"/>
          <w:sz w:val="24"/>
        </w:rPr>
        <w:t>电磁环境质量现状</w:t>
      </w:r>
    </w:p>
    <w:p>
      <w:pPr>
        <w:spacing w:line="360" w:lineRule="auto"/>
        <w:ind w:firstLine="480" w:firstLineChars="200"/>
        <w:rPr>
          <w:color w:val="auto"/>
          <w:sz w:val="24"/>
          <w:szCs w:val="24"/>
        </w:rPr>
      </w:pPr>
      <w:r>
        <w:rPr>
          <w:rFonts w:hint="eastAsia"/>
          <w:color w:val="auto"/>
          <w:sz w:val="24"/>
          <w:szCs w:val="24"/>
        </w:rPr>
        <w:t>本工程已建成投产，为了解工程所在区域的电磁环境现状，评价单位对已建储能电站电磁环境质量现状进行了现场检测。</w:t>
      </w:r>
    </w:p>
    <w:p>
      <w:pPr>
        <w:spacing w:line="360" w:lineRule="auto"/>
        <w:ind w:firstLine="480" w:firstLineChars="200"/>
        <w:rPr>
          <w:color w:val="auto"/>
          <w:sz w:val="24"/>
          <w:szCs w:val="24"/>
        </w:rPr>
      </w:pPr>
      <w:r>
        <w:rPr>
          <w:rFonts w:hint="eastAsia"/>
          <w:color w:val="auto"/>
          <w:sz w:val="24"/>
          <w:szCs w:val="24"/>
        </w:rPr>
        <w:t>（</w:t>
      </w:r>
      <w:r>
        <w:rPr>
          <w:color w:val="auto"/>
          <w:sz w:val="24"/>
          <w:szCs w:val="24"/>
        </w:rPr>
        <w:t>1</w:t>
      </w:r>
      <w:r>
        <w:rPr>
          <w:rFonts w:hint="eastAsia"/>
          <w:color w:val="auto"/>
          <w:sz w:val="24"/>
          <w:szCs w:val="24"/>
        </w:rPr>
        <w:t>）监测布点</w:t>
      </w:r>
    </w:p>
    <w:p>
      <w:pPr>
        <w:spacing w:line="360" w:lineRule="auto"/>
        <w:ind w:firstLine="480" w:firstLineChars="200"/>
        <w:rPr>
          <w:color w:val="auto"/>
          <w:sz w:val="24"/>
          <w:szCs w:val="24"/>
        </w:rPr>
      </w:pPr>
      <w:r>
        <w:rPr>
          <w:rFonts w:hint="eastAsia"/>
          <w:color w:val="auto"/>
          <w:sz w:val="24"/>
          <w:szCs w:val="24"/>
        </w:rPr>
        <w:t>按照《环境影响评价技术导则</w:t>
      </w:r>
      <w:r>
        <w:rPr>
          <w:color w:val="auto"/>
          <w:sz w:val="24"/>
          <w:szCs w:val="24"/>
        </w:rPr>
        <w:t xml:space="preserve">  </w:t>
      </w:r>
      <w:r>
        <w:rPr>
          <w:rFonts w:hint="eastAsia"/>
          <w:color w:val="auto"/>
          <w:sz w:val="24"/>
          <w:szCs w:val="24"/>
        </w:rPr>
        <w:t>输变电工程》（</w:t>
      </w:r>
      <w:r>
        <w:rPr>
          <w:color w:val="auto"/>
          <w:sz w:val="24"/>
          <w:szCs w:val="24"/>
        </w:rPr>
        <w:t>HJ 24-2014</w:t>
      </w:r>
      <w:r>
        <w:rPr>
          <w:rFonts w:hint="eastAsia"/>
          <w:color w:val="auto"/>
          <w:sz w:val="24"/>
          <w:szCs w:val="24"/>
        </w:rPr>
        <w:t>）并结合现场情况进行布点。</w:t>
      </w:r>
    </w:p>
    <w:p>
      <w:pPr>
        <w:spacing w:line="360" w:lineRule="auto"/>
        <w:ind w:firstLine="480" w:firstLineChars="200"/>
        <w:rPr>
          <w:color w:val="auto"/>
          <w:sz w:val="24"/>
          <w:szCs w:val="24"/>
        </w:rPr>
      </w:pPr>
      <w:r>
        <w:rPr>
          <w:rFonts w:hint="eastAsia"/>
          <w:color w:val="auto"/>
          <w:sz w:val="24"/>
          <w:szCs w:val="24"/>
        </w:rPr>
        <w:t>（</w:t>
      </w:r>
      <w:r>
        <w:rPr>
          <w:color w:val="auto"/>
          <w:sz w:val="24"/>
          <w:szCs w:val="24"/>
        </w:rPr>
        <w:t>2</w:t>
      </w:r>
      <w:r>
        <w:rPr>
          <w:rFonts w:hint="eastAsia"/>
          <w:color w:val="auto"/>
          <w:sz w:val="24"/>
          <w:szCs w:val="24"/>
        </w:rPr>
        <w:t>）监测仪器和方法</w:t>
      </w:r>
    </w:p>
    <w:p>
      <w:pPr>
        <w:spacing w:line="360" w:lineRule="auto"/>
        <w:ind w:firstLine="480" w:firstLineChars="200"/>
        <w:rPr>
          <w:color w:val="auto"/>
          <w:sz w:val="24"/>
          <w:szCs w:val="24"/>
        </w:rPr>
      </w:pPr>
      <w:r>
        <w:rPr>
          <w:rFonts w:hint="eastAsia"/>
          <w:color w:val="auto"/>
          <w:sz w:val="24"/>
          <w:szCs w:val="24"/>
        </w:rPr>
        <w:t>按照《交流输变电工程电磁环境检测方法（试行）》</w:t>
      </w:r>
      <w:r>
        <w:rPr>
          <w:color w:val="auto"/>
          <w:sz w:val="24"/>
          <w:szCs w:val="24"/>
        </w:rPr>
        <w:t>(HJ 681-2013)</w:t>
      </w:r>
      <w:r>
        <w:rPr>
          <w:rFonts w:hint="eastAsia"/>
          <w:color w:val="auto"/>
          <w:sz w:val="24"/>
          <w:szCs w:val="24"/>
        </w:rPr>
        <w:t>进行。工频电场强度和工频磁感应强度测量仪器为</w:t>
      </w:r>
      <w:r>
        <w:rPr>
          <w:color w:val="auto"/>
          <w:sz w:val="24"/>
          <w:szCs w:val="21"/>
        </w:rPr>
        <w:t>NBM-550</w:t>
      </w:r>
      <w:r>
        <w:rPr>
          <w:rFonts w:hint="eastAsia"/>
          <w:color w:val="auto"/>
          <w:sz w:val="24"/>
          <w:szCs w:val="21"/>
        </w:rPr>
        <w:t>工频电磁场仪</w:t>
      </w:r>
      <w:r>
        <w:rPr>
          <w:color w:val="auto"/>
          <w:sz w:val="24"/>
          <w:szCs w:val="24"/>
        </w:rPr>
        <w:t>/EHP-50F</w:t>
      </w:r>
      <w:r>
        <w:rPr>
          <w:rFonts w:hint="eastAsia"/>
          <w:color w:val="auto"/>
          <w:sz w:val="24"/>
          <w:szCs w:val="24"/>
        </w:rPr>
        <w:t>探头，</w:t>
      </w:r>
      <w:r>
        <w:rPr>
          <w:rFonts w:hint="eastAsia" w:eastAsiaTheme="minorEastAsia"/>
          <w:color w:val="auto"/>
          <w:sz w:val="24"/>
          <w:szCs w:val="24"/>
        </w:rPr>
        <w:t>所有测试仪器均检定合格且在有效期内。检测设备参数见</w:t>
      </w:r>
      <w:r>
        <w:rPr>
          <w:color w:val="auto"/>
        </w:rPr>
        <w:fldChar w:fldCharType="begin"/>
      </w:r>
      <w:r>
        <w:rPr>
          <w:color w:val="auto"/>
        </w:rPr>
        <w:instrText xml:space="preserve"> REF _Ref35435539 \h  \* MERGEFORMAT </w:instrText>
      </w:r>
      <w:r>
        <w:rPr>
          <w:color w:val="auto"/>
        </w:rPr>
        <w:fldChar w:fldCharType="separate"/>
      </w:r>
      <w:r>
        <w:rPr>
          <w:rFonts w:hint="eastAsia" w:eastAsiaTheme="minorEastAsia"/>
          <w:color w:val="auto"/>
          <w:sz w:val="24"/>
          <w:szCs w:val="24"/>
        </w:rPr>
        <w:t>表</w:t>
      </w:r>
      <w:r>
        <w:rPr>
          <w:rFonts w:hint="eastAsia" w:eastAsiaTheme="minorEastAsia"/>
          <w:color w:val="auto"/>
          <w:sz w:val="24"/>
          <w:szCs w:val="24"/>
        </w:rPr>
        <w:fldChar w:fldCharType="end"/>
      </w:r>
      <w:r>
        <w:rPr>
          <w:color w:val="auto"/>
          <w:sz w:val="24"/>
          <w:szCs w:val="24"/>
        </w:rPr>
        <w:t>3</w:t>
      </w:r>
      <w:r>
        <w:rPr>
          <w:rFonts w:hint="eastAsia" w:eastAsiaTheme="minorEastAsia"/>
          <w:color w:val="auto"/>
          <w:sz w:val="24"/>
          <w:szCs w:val="24"/>
        </w:rPr>
        <w:t>。</w:t>
      </w:r>
    </w:p>
    <w:p>
      <w:pPr>
        <w:jc w:val="center"/>
        <w:rPr>
          <w:b/>
          <w:color w:val="auto"/>
          <w:sz w:val="24"/>
          <w:szCs w:val="24"/>
        </w:rPr>
      </w:pPr>
      <w:bookmarkStart w:id="51" w:name="_Ref35435539"/>
      <w:r>
        <w:rPr>
          <w:rFonts w:hint="eastAsia" w:eastAsiaTheme="minorEastAsia"/>
          <w:b/>
          <w:color w:val="auto"/>
          <w:sz w:val="24"/>
          <w:szCs w:val="24"/>
        </w:rPr>
        <w:t>表</w:t>
      </w:r>
      <w:bookmarkEnd w:id="51"/>
      <w:r>
        <w:rPr>
          <w:rFonts w:eastAsiaTheme="minorEastAsia"/>
          <w:b/>
          <w:color w:val="auto"/>
          <w:sz w:val="24"/>
          <w:szCs w:val="24"/>
        </w:rPr>
        <w:t xml:space="preserve">3    </w:t>
      </w:r>
      <w:r>
        <w:rPr>
          <w:rFonts w:hint="eastAsia"/>
          <w:b/>
          <w:color w:val="auto"/>
          <w:sz w:val="24"/>
          <w:szCs w:val="24"/>
        </w:rPr>
        <w:t>电磁环境检测仪器检定情况表</w:t>
      </w:r>
    </w:p>
    <w:tbl>
      <w:tblPr>
        <w:tblStyle w:val="86"/>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409"/>
        <w:gridCol w:w="69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289" w:type="pct"/>
            <w:vAlign w:val="center"/>
          </w:tcPr>
          <w:p>
            <w:pPr>
              <w:adjustRightInd w:val="0"/>
              <w:snapToGrid w:val="0"/>
              <w:spacing w:line="400" w:lineRule="exact"/>
              <w:jc w:val="center"/>
              <w:rPr>
                <w:b/>
                <w:bCs/>
                <w:color w:val="auto"/>
                <w:szCs w:val="21"/>
              </w:rPr>
            </w:pPr>
            <w:r>
              <w:rPr>
                <w:rFonts w:hint="eastAsia"/>
                <w:b/>
                <w:bCs/>
                <w:color w:val="auto"/>
                <w:szCs w:val="21"/>
              </w:rPr>
              <w:t>仪器型号</w:t>
            </w:r>
          </w:p>
        </w:tc>
        <w:tc>
          <w:tcPr>
            <w:tcW w:w="3711" w:type="pct"/>
            <w:vAlign w:val="center"/>
          </w:tcPr>
          <w:p>
            <w:pPr>
              <w:spacing w:line="400" w:lineRule="exact"/>
              <w:jc w:val="center"/>
              <w:rPr>
                <w:color w:val="auto"/>
                <w:szCs w:val="21"/>
              </w:rPr>
            </w:pPr>
            <w:r>
              <w:rPr>
                <w:color w:val="auto"/>
                <w:szCs w:val="21"/>
              </w:rPr>
              <w:t>NBM-550</w:t>
            </w:r>
            <w:r>
              <w:rPr>
                <w:rFonts w:hint="eastAsia"/>
                <w:color w:val="auto"/>
                <w:szCs w:val="21"/>
              </w:rPr>
              <w:t>手持式场强仪</w:t>
            </w:r>
            <w:r>
              <w:rPr>
                <w:color w:val="auto"/>
                <w:szCs w:val="21"/>
              </w:rPr>
              <w:t>/EHP-50F</w:t>
            </w:r>
            <w:r>
              <w:rPr>
                <w:rFonts w:hint="eastAsia"/>
                <w:color w:val="auto"/>
                <w:szCs w:val="21"/>
              </w:rPr>
              <w:t>探头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289" w:type="pct"/>
            <w:vAlign w:val="center"/>
          </w:tcPr>
          <w:p>
            <w:pPr>
              <w:adjustRightInd w:val="0"/>
              <w:snapToGrid w:val="0"/>
              <w:spacing w:line="400" w:lineRule="exact"/>
              <w:jc w:val="center"/>
              <w:rPr>
                <w:b/>
                <w:bCs/>
                <w:color w:val="auto"/>
                <w:szCs w:val="21"/>
              </w:rPr>
            </w:pPr>
            <w:r>
              <w:rPr>
                <w:rFonts w:hint="eastAsia"/>
                <w:b/>
                <w:bCs/>
                <w:color w:val="auto"/>
                <w:szCs w:val="21"/>
              </w:rPr>
              <w:t>生产厂家</w:t>
            </w:r>
          </w:p>
        </w:tc>
        <w:tc>
          <w:tcPr>
            <w:tcW w:w="3711" w:type="pct"/>
            <w:vAlign w:val="center"/>
          </w:tcPr>
          <w:p>
            <w:pPr>
              <w:spacing w:line="400" w:lineRule="exact"/>
              <w:jc w:val="center"/>
              <w:rPr>
                <w:color w:val="auto"/>
                <w:kern w:val="0"/>
                <w:szCs w:val="21"/>
              </w:rPr>
            </w:pPr>
            <w:r>
              <w:rPr>
                <w:color w:val="auto"/>
              </w:rPr>
              <w:fldChar w:fldCharType="begin"/>
            </w:r>
            <w:r>
              <w:rPr>
                <w:color w:val="auto"/>
              </w:rPr>
              <w:instrText xml:space="preserve"> HYPERLINK "http://www.baidu.com/link?url=5a5vOdFGJbJW-cL0tPC_hwCLDGHl8WDKapUy03vo5TeeNGOg2TzvjsRdCIK-bJB4czNystI8cbclRojP2afmcafDtcX8-SXmr_3IwlYz7AG" \t "_blank" </w:instrText>
            </w:r>
            <w:r>
              <w:rPr>
                <w:color w:val="auto"/>
              </w:rPr>
              <w:fldChar w:fldCharType="separate"/>
            </w:r>
            <w:r>
              <w:rPr>
                <w:rFonts w:hint="eastAsia"/>
                <w:color w:val="auto"/>
                <w:szCs w:val="21"/>
              </w:rPr>
              <w:t>德国</w:t>
            </w:r>
            <w:r>
              <w:rPr>
                <w:color w:val="auto"/>
                <w:szCs w:val="21"/>
              </w:rPr>
              <w:t xml:space="preserve">NARDA </w:t>
            </w:r>
            <w:r>
              <w:rPr>
                <w:color w:val="auto"/>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289" w:type="pct"/>
            <w:vAlign w:val="center"/>
          </w:tcPr>
          <w:p>
            <w:pPr>
              <w:adjustRightInd w:val="0"/>
              <w:snapToGrid w:val="0"/>
              <w:spacing w:line="400" w:lineRule="exact"/>
              <w:jc w:val="center"/>
              <w:rPr>
                <w:b/>
                <w:bCs/>
                <w:color w:val="auto"/>
                <w:szCs w:val="21"/>
              </w:rPr>
            </w:pPr>
            <w:r>
              <w:rPr>
                <w:rFonts w:hint="eastAsia"/>
                <w:b/>
                <w:bCs/>
                <w:color w:val="auto"/>
                <w:szCs w:val="21"/>
              </w:rPr>
              <w:t>检定单位</w:t>
            </w:r>
          </w:p>
        </w:tc>
        <w:tc>
          <w:tcPr>
            <w:tcW w:w="3711" w:type="pct"/>
            <w:vAlign w:val="center"/>
          </w:tcPr>
          <w:p>
            <w:pPr>
              <w:spacing w:line="400" w:lineRule="exact"/>
              <w:jc w:val="center"/>
              <w:rPr>
                <w:color w:val="auto"/>
                <w:kern w:val="0"/>
                <w:szCs w:val="21"/>
              </w:rPr>
            </w:pPr>
            <w:r>
              <w:rPr>
                <w:rFonts w:hint="eastAsia"/>
                <w:color w:val="auto"/>
                <w:szCs w:val="21"/>
              </w:rPr>
              <w:t>广州广电计量检测股份有限公司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289" w:type="pct"/>
            <w:vAlign w:val="center"/>
          </w:tcPr>
          <w:p>
            <w:pPr>
              <w:adjustRightInd w:val="0"/>
              <w:snapToGrid w:val="0"/>
              <w:spacing w:line="400" w:lineRule="exact"/>
              <w:jc w:val="center"/>
              <w:rPr>
                <w:b/>
                <w:bCs/>
                <w:color w:val="auto"/>
                <w:szCs w:val="21"/>
              </w:rPr>
            </w:pPr>
            <w:r>
              <w:rPr>
                <w:rFonts w:hint="eastAsia"/>
                <w:b/>
                <w:bCs/>
                <w:color w:val="auto"/>
                <w:szCs w:val="21"/>
              </w:rPr>
              <w:t>证书编号</w:t>
            </w:r>
          </w:p>
        </w:tc>
        <w:tc>
          <w:tcPr>
            <w:tcW w:w="3711" w:type="pct"/>
            <w:vAlign w:val="center"/>
          </w:tcPr>
          <w:p>
            <w:pPr>
              <w:spacing w:line="400" w:lineRule="exact"/>
              <w:jc w:val="center"/>
              <w:rPr>
                <w:color w:val="auto"/>
                <w:szCs w:val="21"/>
              </w:rPr>
            </w:pPr>
            <w:r>
              <w:rPr>
                <w:color w:val="auto"/>
                <w:kern w:val="0"/>
                <w:szCs w:val="21"/>
              </w:rPr>
              <w:t>J202007281703-01-0005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trPr>
        <w:tc>
          <w:tcPr>
            <w:tcW w:w="1289" w:type="pct"/>
            <w:vAlign w:val="center"/>
          </w:tcPr>
          <w:p>
            <w:pPr>
              <w:adjustRightInd w:val="0"/>
              <w:snapToGrid w:val="0"/>
              <w:spacing w:line="400" w:lineRule="exact"/>
              <w:jc w:val="center"/>
              <w:rPr>
                <w:b/>
                <w:bCs/>
                <w:color w:val="auto"/>
                <w:szCs w:val="21"/>
              </w:rPr>
            </w:pPr>
            <w:r>
              <w:rPr>
                <w:rFonts w:hint="eastAsia"/>
                <w:b/>
                <w:bCs/>
                <w:color w:val="auto"/>
                <w:szCs w:val="21"/>
              </w:rPr>
              <w:t>有效期至</w:t>
            </w:r>
          </w:p>
        </w:tc>
        <w:tc>
          <w:tcPr>
            <w:tcW w:w="3711" w:type="pct"/>
            <w:vAlign w:val="center"/>
          </w:tcPr>
          <w:p>
            <w:pPr>
              <w:spacing w:line="400" w:lineRule="exact"/>
              <w:jc w:val="center"/>
              <w:rPr>
                <w:color w:val="auto"/>
                <w:kern w:val="0"/>
                <w:szCs w:val="21"/>
              </w:rPr>
            </w:pPr>
            <w:r>
              <w:rPr>
                <w:color w:val="auto"/>
                <w:szCs w:val="21"/>
              </w:rPr>
              <w:t>2021</w:t>
            </w:r>
            <w:r>
              <w:rPr>
                <w:rFonts w:hint="eastAsia"/>
                <w:color w:val="auto"/>
                <w:szCs w:val="21"/>
              </w:rPr>
              <w:t>年</w:t>
            </w:r>
            <w:r>
              <w:rPr>
                <w:color w:val="auto"/>
                <w:szCs w:val="21"/>
              </w:rPr>
              <w:t>8</w:t>
            </w:r>
            <w:r>
              <w:rPr>
                <w:rFonts w:hint="eastAsia"/>
                <w:color w:val="auto"/>
                <w:szCs w:val="21"/>
              </w:rPr>
              <w:t>月</w:t>
            </w:r>
            <w:r>
              <w:rPr>
                <w:color w:val="auto"/>
                <w:szCs w:val="21"/>
              </w:rPr>
              <w:t>14</w:t>
            </w:r>
            <w:r>
              <w:rPr>
                <w:rFonts w:hint="eastAsia"/>
                <w:color w:val="auto"/>
                <w:szCs w:val="21"/>
              </w:rPr>
              <w:t>日</w:t>
            </w:r>
          </w:p>
        </w:tc>
      </w:tr>
    </w:tbl>
    <w:p>
      <w:pPr>
        <w:spacing w:line="360" w:lineRule="auto"/>
        <w:ind w:firstLine="480" w:firstLineChars="200"/>
        <w:rPr>
          <w:color w:val="auto"/>
          <w:sz w:val="24"/>
          <w:szCs w:val="24"/>
        </w:rPr>
      </w:pPr>
      <w:r>
        <w:rPr>
          <w:rFonts w:hint="eastAsia"/>
          <w:color w:val="auto"/>
          <w:sz w:val="24"/>
          <w:szCs w:val="24"/>
        </w:rPr>
        <w:t>（</w:t>
      </w:r>
      <w:r>
        <w:rPr>
          <w:color w:val="auto"/>
          <w:sz w:val="24"/>
          <w:szCs w:val="24"/>
        </w:rPr>
        <w:t>3</w:t>
      </w:r>
      <w:r>
        <w:rPr>
          <w:rFonts w:hint="eastAsia"/>
          <w:color w:val="auto"/>
          <w:sz w:val="24"/>
          <w:szCs w:val="24"/>
        </w:rPr>
        <w:t>）检测时间、频次、环境</w:t>
      </w:r>
    </w:p>
    <w:p>
      <w:pPr>
        <w:spacing w:line="360" w:lineRule="auto"/>
        <w:ind w:firstLine="480" w:firstLineChars="200"/>
        <w:rPr>
          <w:rFonts w:eastAsiaTheme="minorEastAsia"/>
          <w:color w:val="auto"/>
          <w:sz w:val="24"/>
        </w:rPr>
      </w:pPr>
      <w:r>
        <w:rPr>
          <w:rFonts w:hint="eastAsia"/>
          <w:color w:val="auto"/>
          <w:sz w:val="24"/>
          <w:szCs w:val="24"/>
        </w:rPr>
        <w:t>检</w:t>
      </w:r>
      <w:r>
        <w:rPr>
          <w:rFonts w:hint="eastAsia"/>
          <w:color w:val="auto"/>
          <w:sz w:val="24"/>
        </w:rPr>
        <w:t>测频次：每个监测点</w:t>
      </w:r>
      <w:r>
        <w:rPr>
          <w:rFonts w:hint="eastAsia" w:eastAsiaTheme="minorEastAsia"/>
          <w:color w:val="auto"/>
          <w:sz w:val="24"/>
        </w:rPr>
        <w:t>监测一次；</w:t>
      </w:r>
    </w:p>
    <w:p>
      <w:pPr>
        <w:spacing w:line="360" w:lineRule="auto"/>
        <w:ind w:firstLine="480" w:firstLineChars="200"/>
        <w:rPr>
          <w:rFonts w:eastAsiaTheme="minorEastAsia"/>
          <w:color w:val="auto"/>
          <w:sz w:val="24"/>
          <w:szCs w:val="24"/>
        </w:rPr>
      </w:pPr>
      <w:r>
        <w:rPr>
          <w:rFonts w:hint="eastAsia" w:eastAsiaTheme="minorEastAsia"/>
          <w:color w:val="auto"/>
          <w:sz w:val="24"/>
          <w:szCs w:val="24"/>
        </w:rPr>
        <w:t>检</w:t>
      </w:r>
      <w:r>
        <w:rPr>
          <w:rFonts w:hint="eastAsia" w:eastAsiaTheme="minorEastAsia"/>
          <w:color w:val="auto"/>
          <w:sz w:val="24"/>
        </w:rPr>
        <w:t>测时间及环境条件见</w:t>
      </w:r>
      <w:r>
        <w:rPr>
          <w:color w:val="auto"/>
        </w:rPr>
        <w:fldChar w:fldCharType="begin"/>
      </w:r>
      <w:r>
        <w:rPr>
          <w:color w:val="auto"/>
        </w:rPr>
        <w:instrText xml:space="preserve"> REF _Ref35435562 \h  \* MERGEFORMAT </w:instrText>
      </w:r>
      <w:r>
        <w:rPr>
          <w:color w:val="auto"/>
        </w:rPr>
        <w:fldChar w:fldCharType="separate"/>
      </w:r>
      <w:r>
        <w:rPr>
          <w:rFonts w:hint="eastAsia" w:eastAsiaTheme="minorEastAsia"/>
          <w:color w:val="auto"/>
          <w:sz w:val="24"/>
          <w:szCs w:val="24"/>
        </w:rPr>
        <w:t>表</w:t>
      </w:r>
      <w:r>
        <w:rPr>
          <w:rFonts w:hint="eastAsia" w:eastAsiaTheme="minorEastAsia"/>
          <w:color w:val="auto"/>
          <w:sz w:val="24"/>
          <w:szCs w:val="24"/>
        </w:rPr>
        <w:fldChar w:fldCharType="end"/>
      </w:r>
      <w:r>
        <w:rPr>
          <w:rFonts w:hint="eastAsia" w:eastAsiaTheme="minorEastAsia"/>
          <w:color w:val="auto"/>
          <w:sz w:val="24"/>
          <w:szCs w:val="24"/>
        </w:rPr>
        <w:t>。</w:t>
      </w:r>
    </w:p>
    <w:p>
      <w:pPr>
        <w:jc w:val="center"/>
        <w:rPr>
          <w:b/>
          <w:color w:val="auto"/>
          <w:sz w:val="24"/>
          <w:szCs w:val="24"/>
        </w:rPr>
      </w:pPr>
      <w:bookmarkStart w:id="52" w:name="_Ref35435562"/>
      <w:r>
        <w:rPr>
          <w:rFonts w:hint="eastAsia" w:eastAsiaTheme="minorEastAsia"/>
          <w:b/>
          <w:color w:val="auto"/>
          <w:sz w:val="24"/>
          <w:szCs w:val="24"/>
        </w:rPr>
        <w:t>表</w:t>
      </w:r>
      <w:bookmarkEnd w:id="52"/>
      <w:r>
        <w:rPr>
          <w:rFonts w:eastAsiaTheme="minorEastAsia"/>
          <w:b/>
          <w:color w:val="auto"/>
          <w:sz w:val="24"/>
          <w:szCs w:val="24"/>
        </w:rPr>
        <w:t xml:space="preserve">4   </w:t>
      </w:r>
      <w:r>
        <w:rPr>
          <w:rFonts w:hint="eastAsia"/>
          <w:b/>
          <w:color w:val="auto"/>
          <w:sz w:val="24"/>
          <w:szCs w:val="24"/>
        </w:rPr>
        <w:t>监测时间及环境条件一览表</w:t>
      </w:r>
    </w:p>
    <w:tbl>
      <w:tblPr>
        <w:tblStyle w:val="86"/>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1121"/>
        <w:gridCol w:w="2571"/>
        <w:gridCol w:w="1310"/>
        <w:gridCol w:w="1564"/>
        <w:gridCol w:w="1542"/>
        <w:gridCol w:w="123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trPr>
        <w:tc>
          <w:tcPr>
            <w:tcW w:w="600" w:type="pct"/>
            <w:tcMar>
              <w:top w:w="0" w:type="dxa"/>
              <w:left w:w="108" w:type="dxa"/>
              <w:bottom w:w="0" w:type="dxa"/>
              <w:right w:w="108" w:type="dxa"/>
            </w:tcMar>
            <w:vAlign w:val="center"/>
          </w:tcPr>
          <w:p>
            <w:pPr>
              <w:jc w:val="center"/>
              <w:rPr>
                <w:b/>
                <w:bCs/>
                <w:color w:val="auto"/>
                <w:szCs w:val="21"/>
              </w:rPr>
            </w:pPr>
            <w:r>
              <w:rPr>
                <w:rFonts w:hint="eastAsia"/>
                <w:b/>
                <w:bCs/>
                <w:color w:val="auto"/>
                <w:szCs w:val="21"/>
              </w:rPr>
              <w:t>序号</w:t>
            </w:r>
          </w:p>
        </w:tc>
        <w:tc>
          <w:tcPr>
            <w:tcW w:w="1376" w:type="pct"/>
            <w:tcMar>
              <w:top w:w="0" w:type="dxa"/>
              <w:left w:w="108" w:type="dxa"/>
              <w:bottom w:w="0" w:type="dxa"/>
              <w:right w:w="108" w:type="dxa"/>
            </w:tcMar>
            <w:vAlign w:val="center"/>
          </w:tcPr>
          <w:p>
            <w:pPr>
              <w:jc w:val="center"/>
              <w:rPr>
                <w:b/>
                <w:bCs/>
                <w:color w:val="auto"/>
                <w:szCs w:val="21"/>
              </w:rPr>
            </w:pPr>
            <w:r>
              <w:rPr>
                <w:rFonts w:hint="eastAsia"/>
                <w:b/>
                <w:bCs/>
                <w:color w:val="auto"/>
                <w:szCs w:val="21"/>
              </w:rPr>
              <w:t>检测时间</w:t>
            </w:r>
          </w:p>
        </w:tc>
        <w:tc>
          <w:tcPr>
            <w:tcW w:w="701" w:type="pct"/>
            <w:tcMar>
              <w:top w:w="0" w:type="dxa"/>
              <w:left w:w="108" w:type="dxa"/>
              <w:bottom w:w="0" w:type="dxa"/>
              <w:right w:w="108" w:type="dxa"/>
            </w:tcMar>
            <w:vAlign w:val="center"/>
          </w:tcPr>
          <w:p>
            <w:pPr>
              <w:jc w:val="center"/>
              <w:rPr>
                <w:b/>
                <w:bCs/>
                <w:color w:val="auto"/>
                <w:szCs w:val="21"/>
              </w:rPr>
            </w:pPr>
            <w:r>
              <w:rPr>
                <w:rFonts w:hint="eastAsia"/>
                <w:b/>
                <w:bCs/>
                <w:color w:val="auto"/>
                <w:szCs w:val="21"/>
              </w:rPr>
              <w:t>气温℃</w:t>
            </w:r>
          </w:p>
        </w:tc>
        <w:tc>
          <w:tcPr>
            <w:tcW w:w="837" w:type="pct"/>
            <w:tcMar>
              <w:top w:w="0" w:type="dxa"/>
              <w:left w:w="108" w:type="dxa"/>
              <w:bottom w:w="0" w:type="dxa"/>
              <w:right w:w="108" w:type="dxa"/>
            </w:tcMar>
            <w:vAlign w:val="center"/>
          </w:tcPr>
          <w:p>
            <w:pPr>
              <w:jc w:val="center"/>
              <w:rPr>
                <w:b/>
                <w:bCs/>
                <w:color w:val="auto"/>
                <w:szCs w:val="21"/>
              </w:rPr>
            </w:pPr>
            <w:r>
              <w:rPr>
                <w:rFonts w:hint="eastAsia"/>
                <w:b/>
                <w:bCs/>
                <w:color w:val="auto"/>
                <w:szCs w:val="21"/>
              </w:rPr>
              <w:t>湿度％</w:t>
            </w:r>
          </w:p>
        </w:tc>
        <w:tc>
          <w:tcPr>
            <w:tcW w:w="825" w:type="pct"/>
            <w:tcMar>
              <w:top w:w="0" w:type="dxa"/>
              <w:left w:w="108" w:type="dxa"/>
              <w:bottom w:w="0" w:type="dxa"/>
              <w:right w:w="108" w:type="dxa"/>
            </w:tcMar>
            <w:vAlign w:val="center"/>
          </w:tcPr>
          <w:p>
            <w:pPr>
              <w:jc w:val="center"/>
              <w:rPr>
                <w:b/>
                <w:bCs/>
                <w:color w:val="auto"/>
                <w:szCs w:val="21"/>
              </w:rPr>
            </w:pPr>
            <w:r>
              <w:rPr>
                <w:rFonts w:hint="eastAsia"/>
                <w:b/>
                <w:bCs/>
                <w:color w:val="auto"/>
                <w:szCs w:val="21"/>
              </w:rPr>
              <w:t>风向、风力</w:t>
            </w:r>
          </w:p>
        </w:tc>
        <w:tc>
          <w:tcPr>
            <w:tcW w:w="661" w:type="pct"/>
            <w:tcMar>
              <w:top w:w="0" w:type="dxa"/>
              <w:left w:w="108" w:type="dxa"/>
              <w:bottom w:w="0" w:type="dxa"/>
              <w:right w:w="108" w:type="dxa"/>
            </w:tcMar>
            <w:vAlign w:val="center"/>
          </w:tcPr>
          <w:p>
            <w:pPr>
              <w:jc w:val="center"/>
              <w:rPr>
                <w:b/>
                <w:bCs/>
                <w:color w:val="auto"/>
                <w:szCs w:val="21"/>
              </w:rPr>
            </w:pPr>
            <w:r>
              <w:rPr>
                <w:rFonts w:hint="eastAsia"/>
                <w:b/>
                <w:bCs/>
                <w:color w:val="auto"/>
                <w:szCs w:val="21"/>
              </w:rPr>
              <w:t>天气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trPr>
        <w:tc>
          <w:tcPr>
            <w:tcW w:w="600" w:type="pct"/>
            <w:tcMar>
              <w:top w:w="0" w:type="dxa"/>
              <w:left w:w="108" w:type="dxa"/>
              <w:bottom w:w="0" w:type="dxa"/>
              <w:right w:w="108" w:type="dxa"/>
            </w:tcMar>
            <w:vAlign w:val="center"/>
          </w:tcPr>
          <w:p>
            <w:pPr>
              <w:jc w:val="center"/>
              <w:rPr>
                <w:color w:val="auto"/>
                <w:szCs w:val="21"/>
              </w:rPr>
            </w:pPr>
            <w:r>
              <w:rPr>
                <w:color w:val="auto"/>
                <w:szCs w:val="21"/>
              </w:rPr>
              <w:t>1</w:t>
            </w:r>
          </w:p>
        </w:tc>
        <w:tc>
          <w:tcPr>
            <w:tcW w:w="1376" w:type="pct"/>
            <w:tcMar>
              <w:top w:w="0" w:type="dxa"/>
              <w:left w:w="108" w:type="dxa"/>
              <w:bottom w:w="0" w:type="dxa"/>
              <w:right w:w="108" w:type="dxa"/>
            </w:tcMar>
            <w:vAlign w:val="center"/>
          </w:tcPr>
          <w:p>
            <w:pPr>
              <w:jc w:val="center"/>
              <w:rPr>
                <w:color w:val="auto"/>
                <w:szCs w:val="21"/>
              </w:rPr>
            </w:pPr>
            <w:r>
              <w:rPr>
                <w:color w:val="auto"/>
                <w:szCs w:val="21"/>
              </w:rPr>
              <w:t>2020</w:t>
            </w:r>
            <w:r>
              <w:rPr>
                <w:rFonts w:hint="eastAsia"/>
                <w:color w:val="auto"/>
                <w:szCs w:val="21"/>
              </w:rPr>
              <w:t>年</w:t>
            </w:r>
            <w:r>
              <w:rPr>
                <w:color w:val="auto"/>
                <w:szCs w:val="21"/>
              </w:rPr>
              <w:t>11</w:t>
            </w:r>
            <w:r>
              <w:rPr>
                <w:rFonts w:hint="eastAsia"/>
                <w:color w:val="auto"/>
                <w:szCs w:val="21"/>
              </w:rPr>
              <w:t>月</w:t>
            </w:r>
            <w:r>
              <w:rPr>
                <w:color w:val="auto"/>
                <w:szCs w:val="21"/>
              </w:rPr>
              <w:t>19</w:t>
            </w:r>
            <w:r>
              <w:rPr>
                <w:rFonts w:hint="eastAsia"/>
                <w:color w:val="auto"/>
                <w:szCs w:val="21"/>
              </w:rPr>
              <w:t>日</w:t>
            </w:r>
          </w:p>
        </w:tc>
        <w:tc>
          <w:tcPr>
            <w:tcW w:w="701" w:type="pct"/>
            <w:tcMar>
              <w:top w:w="0" w:type="dxa"/>
              <w:left w:w="108" w:type="dxa"/>
              <w:bottom w:w="0" w:type="dxa"/>
              <w:right w:w="108" w:type="dxa"/>
            </w:tcMar>
            <w:vAlign w:val="center"/>
          </w:tcPr>
          <w:p>
            <w:pPr>
              <w:jc w:val="center"/>
              <w:rPr>
                <w:color w:val="auto"/>
                <w:szCs w:val="21"/>
              </w:rPr>
            </w:pPr>
            <w:r>
              <w:rPr>
                <w:color w:val="auto"/>
                <w:szCs w:val="21"/>
              </w:rPr>
              <w:t>20-23</w:t>
            </w:r>
          </w:p>
        </w:tc>
        <w:tc>
          <w:tcPr>
            <w:tcW w:w="837" w:type="pct"/>
            <w:tcMar>
              <w:top w:w="0" w:type="dxa"/>
              <w:left w:w="108" w:type="dxa"/>
              <w:bottom w:w="0" w:type="dxa"/>
              <w:right w:w="108" w:type="dxa"/>
            </w:tcMar>
            <w:vAlign w:val="center"/>
          </w:tcPr>
          <w:p>
            <w:pPr>
              <w:jc w:val="center"/>
              <w:rPr>
                <w:color w:val="auto"/>
                <w:szCs w:val="21"/>
              </w:rPr>
            </w:pPr>
            <w:r>
              <w:rPr>
                <w:color w:val="auto"/>
                <w:szCs w:val="21"/>
              </w:rPr>
              <w:t>69.2</w:t>
            </w:r>
          </w:p>
        </w:tc>
        <w:tc>
          <w:tcPr>
            <w:tcW w:w="825" w:type="pct"/>
            <w:tcMar>
              <w:top w:w="0" w:type="dxa"/>
              <w:left w:w="108" w:type="dxa"/>
              <w:bottom w:w="0" w:type="dxa"/>
              <w:right w:w="108" w:type="dxa"/>
            </w:tcMar>
            <w:vAlign w:val="center"/>
          </w:tcPr>
          <w:p>
            <w:pPr>
              <w:jc w:val="center"/>
              <w:rPr>
                <w:color w:val="auto"/>
                <w:szCs w:val="21"/>
              </w:rPr>
            </w:pPr>
            <w:r>
              <w:rPr>
                <w:color w:val="auto"/>
                <w:szCs w:val="21"/>
              </w:rPr>
              <w:t>0.5~1.2m/s</w:t>
            </w:r>
          </w:p>
        </w:tc>
        <w:tc>
          <w:tcPr>
            <w:tcW w:w="661" w:type="pct"/>
            <w:tcMar>
              <w:top w:w="0" w:type="dxa"/>
              <w:left w:w="108" w:type="dxa"/>
              <w:bottom w:w="0" w:type="dxa"/>
              <w:right w:w="108" w:type="dxa"/>
            </w:tcMar>
            <w:vAlign w:val="center"/>
          </w:tcPr>
          <w:p>
            <w:pPr>
              <w:jc w:val="center"/>
              <w:rPr>
                <w:color w:val="auto"/>
                <w:szCs w:val="21"/>
              </w:rPr>
            </w:pPr>
            <w:r>
              <w:rPr>
                <w:rFonts w:hint="eastAsia"/>
                <w:color w:val="auto"/>
                <w:szCs w:val="21"/>
              </w:rPr>
              <w:t>晴</w:t>
            </w:r>
          </w:p>
        </w:tc>
      </w:tr>
    </w:tbl>
    <w:p>
      <w:pPr>
        <w:adjustRightInd w:val="0"/>
        <w:snapToGrid w:val="0"/>
        <w:spacing w:beforeLines="50" w:line="360" w:lineRule="auto"/>
        <w:ind w:firstLine="480" w:firstLineChars="200"/>
        <w:rPr>
          <w:rFonts w:eastAsiaTheme="minorEastAsia"/>
          <w:b/>
          <w:color w:val="auto"/>
          <w:sz w:val="24"/>
          <w:szCs w:val="24"/>
        </w:rPr>
      </w:pPr>
      <w:r>
        <w:rPr>
          <w:rFonts w:hint="eastAsia"/>
          <w:color w:val="auto"/>
          <w:sz w:val="24"/>
        </w:rPr>
        <w:t>（</w:t>
      </w:r>
      <w:r>
        <w:rPr>
          <w:color w:val="auto"/>
          <w:sz w:val="24"/>
        </w:rPr>
        <w:t>4</w:t>
      </w:r>
      <w:r>
        <w:rPr>
          <w:rFonts w:hint="eastAsia"/>
          <w:color w:val="auto"/>
          <w:sz w:val="24"/>
        </w:rPr>
        <w:t>）检测结果</w:t>
      </w:r>
    </w:p>
    <w:p>
      <w:pPr>
        <w:jc w:val="center"/>
        <w:rPr>
          <w:b/>
          <w:color w:val="auto"/>
          <w:sz w:val="24"/>
          <w:szCs w:val="24"/>
        </w:rPr>
      </w:pPr>
      <w:r>
        <w:rPr>
          <w:rFonts w:hint="eastAsia" w:eastAsiaTheme="minorEastAsia"/>
          <w:b/>
          <w:color w:val="auto"/>
          <w:sz w:val="24"/>
          <w:szCs w:val="24"/>
        </w:rPr>
        <w:t>表</w:t>
      </w:r>
      <w:r>
        <w:rPr>
          <w:rFonts w:eastAsiaTheme="minorEastAsia"/>
          <w:b/>
          <w:color w:val="auto"/>
          <w:sz w:val="24"/>
          <w:szCs w:val="24"/>
        </w:rPr>
        <w:t xml:space="preserve">5   </w:t>
      </w:r>
      <w:r>
        <w:rPr>
          <w:rFonts w:hint="eastAsia"/>
          <w:b/>
          <w:color w:val="auto"/>
          <w:sz w:val="24"/>
          <w:szCs w:val="24"/>
        </w:rPr>
        <w:t>本工程周边电磁环境现场监测结果</w:t>
      </w:r>
    </w:p>
    <w:tbl>
      <w:tblPr>
        <w:tblStyle w:val="8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1175"/>
        <w:gridCol w:w="4459"/>
        <w:gridCol w:w="1680"/>
        <w:gridCol w:w="186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91" w:hRule="atLeast"/>
          <w:tblHeader/>
          <w:jc w:val="center"/>
        </w:trPr>
        <w:tc>
          <w:tcPr>
            <w:tcW w:w="640" w:type="pct"/>
            <w:vAlign w:val="center"/>
          </w:tcPr>
          <w:p>
            <w:pPr>
              <w:jc w:val="center"/>
              <w:rPr>
                <w:b/>
                <w:bCs/>
                <w:color w:val="auto"/>
                <w:szCs w:val="21"/>
              </w:rPr>
            </w:pPr>
            <w:r>
              <w:rPr>
                <w:rFonts w:hint="eastAsia"/>
                <w:b/>
                <w:bCs/>
                <w:color w:val="auto"/>
                <w:szCs w:val="21"/>
              </w:rPr>
              <w:t>检测序号</w:t>
            </w:r>
          </w:p>
        </w:tc>
        <w:tc>
          <w:tcPr>
            <w:tcW w:w="2428" w:type="pct"/>
            <w:vAlign w:val="center"/>
          </w:tcPr>
          <w:p>
            <w:pPr>
              <w:jc w:val="center"/>
              <w:rPr>
                <w:b/>
                <w:bCs/>
                <w:color w:val="auto"/>
                <w:szCs w:val="21"/>
              </w:rPr>
            </w:pPr>
            <w:r>
              <w:rPr>
                <w:rFonts w:hint="eastAsia"/>
                <w:b/>
                <w:bCs/>
                <w:color w:val="auto"/>
                <w:szCs w:val="21"/>
              </w:rPr>
              <w:t>检测点位</w:t>
            </w:r>
          </w:p>
        </w:tc>
        <w:tc>
          <w:tcPr>
            <w:tcW w:w="915" w:type="pct"/>
            <w:vAlign w:val="center"/>
          </w:tcPr>
          <w:p>
            <w:pPr>
              <w:jc w:val="center"/>
              <w:rPr>
                <w:b/>
                <w:bCs/>
                <w:color w:val="auto"/>
                <w:szCs w:val="21"/>
              </w:rPr>
            </w:pPr>
            <w:r>
              <w:rPr>
                <w:rFonts w:hint="eastAsia"/>
                <w:b/>
                <w:bCs/>
                <w:color w:val="auto"/>
                <w:szCs w:val="21"/>
              </w:rPr>
              <w:t>工频电场强度</w:t>
            </w:r>
            <w:r>
              <w:rPr>
                <w:b/>
                <w:bCs/>
                <w:color w:val="auto"/>
                <w:szCs w:val="21"/>
              </w:rPr>
              <w:t>(V/m)</w:t>
            </w:r>
          </w:p>
        </w:tc>
        <w:tc>
          <w:tcPr>
            <w:tcW w:w="1017" w:type="pct"/>
            <w:vAlign w:val="center"/>
          </w:tcPr>
          <w:p>
            <w:pPr>
              <w:jc w:val="center"/>
              <w:rPr>
                <w:b/>
                <w:bCs/>
                <w:color w:val="auto"/>
                <w:szCs w:val="21"/>
              </w:rPr>
            </w:pPr>
            <w:r>
              <w:rPr>
                <w:rFonts w:hint="eastAsia"/>
                <w:b/>
                <w:bCs/>
                <w:color w:val="auto"/>
                <w:szCs w:val="21"/>
              </w:rPr>
              <w:t>工频磁感应强度（</w:t>
            </w:r>
            <w:r>
              <w:rPr>
                <w:b/>
                <w:bCs/>
                <w:color w:val="auto"/>
                <w:szCs w:val="21"/>
              </w:rPr>
              <w:t>μT</w:t>
            </w:r>
            <w:r>
              <w:rPr>
                <w:rFonts w:hint="eastAsia"/>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276" w:hRule="atLeast"/>
          <w:tblHeader/>
          <w:jc w:val="center"/>
        </w:trPr>
        <w:tc>
          <w:tcPr>
            <w:tcW w:w="640" w:type="pct"/>
            <w:vAlign w:val="center"/>
          </w:tcPr>
          <w:p>
            <w:pPr>
              <w:jc w:val="center"/>
              <w:rPr>
                <w:color w:val="auto"/>
                <w:szCs w:val="21"/>
              </w:rPr>
            </w:pPr>
            <w:r>
              <w:rPr>
                <w:color w:val="auto"/>
                <w:szCs w:val="21"/>
              </w:rPr>
              <w:t>1</w:t>
            </w:r>
          </w:p>
        </w:tc>
        <w:tc>
          <w:tcPr>
            <w:tcW w:w="2428" w:type="pct"/>
            <w:vAlign w:val="center"/>
          </w:tcPr>
          <w:p>
            <w:pPr>
              <w:jc w:val="center"/>
              <w:rPr>
                <w:color w:val="auto"/>
                <w:szCs w:val="21"/>
              </w:rPr>
            </w:pPr>
            <w:r>
              <w:rPr>
                <w:rFonts w:hint="eastAsia"/>
                <w:color w:val="auto"/>
                <w:szCs w:val="21"/>
              </w:rPr>
              <w:t>拟建储能站距东面厂界外</w:t>
            </w:r>
            <w:r>
              <w:rPr>
                <w:color w:val="auto"/>
                <w:szCs w:val="21"/>
              </w:rPr>
              <w:t>5m</w:t>
            </w:r>
          </w:p>
        </w:tc>
        <w:tc>
          <w:tcPr>
            <w:tcW w:w="915" w:type="pct"/>
            <w:vAlign w:val="center"/>
          </w:tcPr>
          <w:p>
            <w:pPr>
              <w:jc w:val="center"/>
              <w:rPr>
                <w:color w:val="auto"/>
                <w:szCs w:val="21"/>
              </w:rPr>
            </w:pPr>
            <w:r>
              <w:rPr>
                <w:color w:val="auto"/>
                <w:szCs w:val="21"/>
              </w:rPr>
              <w:t>7.535</w:t>
            </w:r>
          </w:p>
        </w:tc>
        <w:tc>
          <w:tcPr>
            <w:tcW w:w="1017" w:type="pct"/>
            <w:vAlign w:val="center"/>
          </w:tcPr>
          <w:p>
            <w:pPr>
              <w:jc w:val="center"/>
              <w:rPr>
                <w:color w:val="auto"/>
                <w:szCs w:val="21"/>
              </w:rPr>
            </w:pPr>
            <w:r>
              <w:rPr>
                <w:color w:val="auto"/>
                <w:szCs w:val="21"/>
              </w:rPr>
              <w:t>0.097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276" w:hRule="atLeast"/>
          <w:tblHeader/>
          <w:jc w:val="center"/>
        </w:trPr>
        <w:tc>
          <w:tcPr>
            <w:tcW w:w="640" w:type="pct"/>
            <w:vAlign w:val="center"/>
          </w:tcPr>
          <w:p>
            <w:pPr>
              <w:jc w:val="center"/>
              <w:rPr>
                <w:color w:val="auto"/>
                <w:szCs w:val="21"/>
              </w:rPr>
            </w:pPr>
            <w:r>
              <w:rPr>
                <w:color w:val="auto"/>
                <w:szCs w:val="21"/>
              </w:rPr>
              <w:t>2</w:t>
            </w:r>
          </w:p>
        </w:tc>
        <w:tc>
          <w:tcPr>
            <w:tcW w:w="2428" w:type="pct"/>
            <w:vAlign w:val="center"/>
          </w:tcPr>
          <w:p>
            <w:pPr>
              <w:jc w:val="center"/>
              <w:rPr>
                <w:color w:val="auto"/>
                <w:szCs w:val="21"/>
              </w:rPr>
            </w:pPr>
            <w:r>
              <w:rPr>
                <w:rFonts w:hint="eastAsia"/>
                <w:color w:val="auto"/>
                <w:szCs w:val="21"/>
              </w:rPr>
              <w:t>拟建储能站距南面厂界外</w:t>
            </w:r>
            <w:r>
              <w:rPr>
                <w:color w:val="auto"/>
                <w:szCs w:val="21"/>
              </w:rPr>
              <w:t>5m</w:t>
            </w:r>
            <w:r>
              <w:rPr>
                <w:rFonts w:hint="eastAsia"/>
                <w:color w:val="auto"/>
                <w:szCs w:val="21"/>
              </w:rPr>
              <w:t>（进出线端）</w:t>
            </w:r>
          </w:p>
        </w:tc>
        <w:tc>
          <w:tcPr>
            <w:tcW w:w="915" w:type="pct"/>
            <w:vAlign w:val="center"/>
          </w:tcPr>
          <w:p>
            <w:pPr>
              <w:jc w:val="center"/>
              <w:rPr>
                <w:color w:val="auto"/>
                <w:szCs w:val="21"/>
              </w:rPr>
            </w:pPr>
            <w:r>
              <w:rPr>
                <w:color w:val="auto"/>
                <w:szCs w:val="21"/>
              </w:rPr>
              <w:t>4.401</w:t>
            </w:r>
          </w:p>
        </w:tc>
        <w:tc>
          <w:tcPr>
            <w:tcW w:w="1017" w:type="pct"/>
            <w:vAlign w:val="center"/>
          </w:tcPr>
          <w:p>
            <w:pPr>
              <w:jc w:val="center"/>
              <w:rPr>
                <w:color w:val="auto"/>
                <w:szCs w:val="21"/>
              </w:rPr>
            </w:pPr>
            <w:r>
              <w:rPr>
                <w:color w:val="auto"/>
                <w:szCs w:val="21"/>
              </w:rPr>
              <w:t>0.053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276" w:hRule="atLeast"/>
          <w:tblHeader/>
          <w:jc w:val="center"/>
        </w:trPr>
        <w:tc>
          <w:tcPr>
            <w:tcW w:w="640" w:type="pct"/>
            <w:vAlign w:val="center"/>
          </w:tcPr>
          <w:p>
            <w:pPr>
              <w:jc w:val="center"/>
              <w:rPr>
                <w:color w:val="auto"/>
                <w:szCs w:val="21"/>
              </w:rPr>
            </w:pPr>
            <w:r>
              <w:rPr>
                <w:color w:val="auto"/>
                <w:szCs w:val="21"/>
              </w:rPr>
              <w:t>3</w:t>
            </w:r>
          </w:p>
        </w:tc>
        <w:tc>
          <w:tcPr>
            <w:tcW w:w="2428" w:type="pct"/>
            <w:vAlign w:val="center"/>
          </w:tcPr>
          <w:p>
            <w:pPr>
              <w:jc w:val="center"/>
              <w:rPr>
                <w:color w:val="auto"/>
                <w:szCs w:val="21"/>
              </w:rPr>
            </w:pPr>
            <w:r>
              <w:rPr>
                <w:rFonts w:hint="eastAsia"/>
                <w:color w:val="auto"/>
                <w:szCs w:val="21"/>
              </w:rPr>
              <w:t>拟建储能站距西面厂界外</w:t>
            </w:r>
            <w:r>
              <w:rPr>
                <w:color w:val="auto"/>
                <w:szCs w:val="21"/>
              </w:rPr>
              <w:t>5m</w:t>
            </w:r>
          </w:p>
        </w:tc>
        <w:tc>
          <w:tcPr>
            <w:tcW w:w="915" w:type="pct"/>
            <w:vAlign w:val="center"/>
          </w:tcPr>
          <w:p>
            <w:pPr>
              <w:jc w:val="center"/>
              <w:rPr>
                <w:color w:val="auto"/>
                <w:szCs w:val="21"/>
              </w:rPr>
            </w:pPr>
            <w:r>
              <w:rPr>
                <w:color w:val="auto"/>
                <w:szCs w:val="21"/>
              </w:rPr>
              <w:t>2.278</w:t>
            </w:r>
          </w:p>
        </w:tc>
        <w:tc>
          <w:tcPr>
            <w:tcW w:w="1017" w:type="pct"/>
            <w:vAlign w:val="center"/>
          </w:tcPr>
          <w:p>
            <w:pPr>
              <w:jc w:val="center"/>
              <w:rPr>
                <w:color w:val="auto"/>
                <w:szCs w:val="21"/>
              </w:rPr>
            </w:pPr>
            <w:r>
              <w:rPr>
                <w:color w:val="auto"/>
                <w:szCs w:val="21"/>
              </w:rPr>
              <w:t>0.015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344" w:hRule="atLeast"/>
          <w:jc w:val="center"/>
        </w:trPr>
        <w:tc>
          <w:tcPr>
            <w:tcW w:w="640" w:type="pct"/>
            <w:vAlign w:val="center"/>
          </w:tcPr>
          <w:p>
            <w:pPr>
              <w:jc w:val="center"/>
              <w:rPr>
                <w:color w:val="auto"/>
                <w:szCs w:val="21"/>
              </w:rPr>
            </w:pPr>
            <w:r>
              <w:rPr>
                <w:color w:val="auto"/>
                <w:szCs w:val="21"/>
              </w:rPr>
              <w:t>4</w:t>
            </w:r>
          </w:p>
        </w:tc>
        <w:tc>
          <w:tcPr>
            <w:tcW w:w="2428" w:type="pct"/>
            <w:vAlign w:val="center"/>
          </w:tcPr>
          <w:p>
            <w:pPr>
              <w:jc w:val="center"/>
              <w:rPr>
                <w:color w:val="auto"/>
                <w:szCs w:val="21"/>
              </w:rPr>
            </w:pPr>
            <w:r>
              <w:rPr>
                <w:rFonts w:hint="eastAsia"/>
                <w:color w:val="auto"/>
                <w:szCs w:val="21"/>
              </w:rPr>
              <w:t>拟建储能站距北面厂界外</w:t>
            </w:r>
            <w:r>
              <w:rPr>
                <w:color w:val="auto"/>
                <w:szCs w:val="21"/>
              </w:rPr>
              <w:t>5m</w:t>
            </w:r>
          </w:p>
        </w:tc>
        <w:tc>
          <w:tcPr>
            <w:tcW w:w="915" w:type="pct"/>
            <w:vAlign w:val="center"/>
          </w:tcPr>
          <w:p>
            <w:pPr>
              <w:jc w:val="center"/>
              <w:rPr>
                <w:color w:val="auto"/>
                <w:szCs w:val="21"/>
              </w:rPr>
            </w:pPr>
            <w:r>
              <w:rPr>
                <w:color w:val="auto"/>
                <w:szCs w:val="21"/>
              </w:rPr>
              <w:t>8.014</w:t>
            </w:r>
          </w:p>
        </w:tc>
        <w:tc>
          <w:tcPr>
            <w:tcW w:w="1017" w:type="pct"/>
            <w:vAlign w:val="center"/>
          </w:tcPr>
          <w:p>
            <w:pPr>
              <w:jc w:val="center"/>
              <w:rPr>
                <w:color w:val="auto"/>
                <w:szCs w:val="21"/>
              </w:rPr>
            </w:pPr>
            <w:r>
              <w:rPr>
                <w:color w:val="auto"/>
                <w:szCs w:val="21"/>
              </w:rPr>
              <w:t>0.026</w:t>
            </w:r>
          </w:p>
        </w:tc>
      </w:tr>
    </w:tbl>
    <w:p>
      <w:pPr>
        <w:adjustRightInd w:val="0"/>
        <w:snapToGrid w:val="0"/>
        <w:spacing w:beforeLines="50" w:line="360" w:lineRule="auto"/>
        <w:ind w:firstLine="480" w:firstLineChars="200"/>
        <w:rPr>
          <w:color w:val="auto"/>
          <w:sz w:val="24"/>
          <w:szCs w:val="22"/>
        </w:rPr>
      </w:pPr>
      <w:r>
        <w:rPr>
          <w:rFonts w:hint="eastAsia"/>
          <w:color w:val="auto"/>
          <w:sz w:val="24"/>
          <w:szCs w:val="22"/>
        </w:rPr>
        <w:t>（</w:t>
      </w:r>
      <w:r>
        <w:rPr>
          <w:color w:val="auto"/>
          <w:sz w:val="24"/>
          <w:szCs w:val="22"/>
        </w:rPr>
        <w:t>5</w:t>
      </w:r>
      <w:r>
        <w:rPr>
          <w:rFonts w:hint="eastAsia"/>
          <w:color w:val="auto"/>
          <w:sz w:val="24"/>
          <w:szCs w:val="22"/>
        </w:rPr>
        <w:t>）检测结果评价</w:t>
      </w:r>
    </w:p>
    <w:p>
      <w:pPr>
        <w:spacing w:line="360" w:lineRule="auto"/>
        <w:ind w:firstLine="480" w:firstLineChars="200"/>
        <w:rPr>
          <w:color w:val="auto"/>
          <w:sz w:val="24"/>
          <w:szCs w:val="24"/>
        </w:rPr>
      </w:pPr>
      <w:r>
        <w:rPr>
          <w:rFonts w:hint="eastAsia"/>
          <w:color w:val="auto"/>
          <w:sz w:val="24"/>
          <w:szCs w:val="24"/>
        </w:rPr>
        <w:t>从上表可看出，储能站围墙外四周、进出线端及监测断面的工频电场强度、磁场强度均小于《电磁环境控制限值》</w:t>
      </w:r>
      <w:r>
        <w:rPr>
          <w:color w:val="auto"/>
          <w:sz w:val="24"/>
          <w:szCs w:val="24"/>
        </w:rPr>
        <w:t>(GB8702-2014)</w:t>
      </w:r>
      <w:r>
        <w:rPr>
          <w:rFonts w:hint="eastAsia"/>
          <w:color w:val="auto"/>
          <w:sz w:val="24"/>
          <w:szCs w:val="24"/>
        </w:rPr>
        <w:t>中规定工作频率为</w:t>
      </w:r>
      <w:r>
        <w:rPr>
          <w:color w:val="auto"/>
          <w:sz w:val="24"/>
          <w:szCs w:val="24"/>
        </w:rPr>
        <w:t>50Hz</w:t>
      </w:r>
      <w:r>
        <w:rPr>
          <w:rFonts w:hint="eastAsia"/>
          <w:color w:val="auto"/>
          <w:sz w:val="24"/>
          <w:szCs w:val="24"/>
        </w:rPr>
        <w:t>工频电场强度限值</w:t>
      </w:r>
      <w:r>
        <w:rPr>
          <w:color w:val="auto"/>
          <w:sz w:val="24"/>
          <w:szCs w:val="24"/>
        </w:rPr>
        <w:t>4000V/m</w:t>
      </w:r>
      <w:r>
        <w:rPr>
          <w:rFonts w:hint="eastAsia"/>
          <w:color w:val="auto"/>
          <w:sz w:val="24"/>
          <w:szCs w:val="24"/>
        </w:rPr>
        <w:t>和工频磁感应强度限值为</w:t>
      </w:r>
      <w:r>
        <w:rPr>
          <w:color w:val="auto"/>
          <w:sz w:val="24"/>
          <w:szCs w:val="24"/>
        </w:rPr>
        <w:t>100μT</w:t>
      </w:r>
      <w:r>
        <w:rPr>
          <w:rFonts w:hint="eastAsia"/>
          <w:color w:val="auto"/>
          <w:sz w:val="24"/>
          <w:szCs w:val="24"/>
        </w:rPr>
        <w:t>的评价标准。</w:t>
      </w:r>
    </w:p>
    <w:p>
      <w:pPr>
        <w:spacing w:line="360" w:lineRule="auto"/>
        <w:rPr>
          <w:b/>
          <w:color w:val="auto"/>
          <w:sz w:val="24"/>
        </w:rPr>
      </w:pPr>
      <w:r>
        <w:rPr>
          <w:b/>
          <w:color w:val="auto"/>
          <w:sz w:val="24"/>
        </w:rPr>
        <w:t xml:space="preserve">3 </w:t>
      </w:r>
      <w:r>
        <w:rPr>
          <w:rFonts w:hint="eastAsia"/>
          <w:b/>
          <w:color w:val="auto"/>
          <w:sz w:val="24"/>
        </w:rPr>
        <w:t>电磁环境影响评价</w:t>
      </w:r>
    </w:p>
    <w:p>
      <w:pPr>
        <w:spacing w:line="360" w:lineRule="auto"/>
        <w:rPr>
          <w:b/>
          <w:color w:val="auto"/>
          <w:sz w:val="24"/>
        </w:rPr>
      </w:pPr>
      <w:r>
        <w:rPr>
          <w:b/>
          <w:color w:val="auto"/>
          <w:sz w:val="24"/>
        </w:rPr>
        <w:t>3.1</w:t>
      </w:r>
      <w:r>
        <w:rPr>
          <w:rFonts w:hint="eastAsia"/>
          <w:b/>
          <w:color w:val="auto"/>
          <w:sz w:val="24"/>
        </w:rPr>
        <w:t>储能电站电磁环境影响分析与评价</w:t>
      </w:r>
    </w:p>
    <w:p>
      <w:pPr>
        <w:spacing w:line="360" w:lineRule="auto"/>
        <w:rPr>
          <w:b/>
          <w:color w:val="auto"/>
          <w:sz w:val="24"/>
        </w:rPr>
      </w:pPr>
      <w:r>
        <w:rPr>
          <w:b/>
          <w:color w:val="auto"/>
          <w:sz w:val="24"/>
        </w:rPr>
        <w:t>3.1.1</w:t>
      </w:r>
      <w:r>
        <w:rPr>
          <w:rFonts w:hint="eastAsia"/>
          <w:b/>
          <w:color w:val="auto"/>
          <w:sz w:val="24"/>
        </w:rPr>
        <w:t>类比对象选择原则</w:t>
      </w:r>
    </w:p>
    <w:p>
      <w:pPr>
        <w:adjustRightInd w:val="0"/>
        <w:snapToGrid w:val="0"/>
        <w:spacing w:line="360" w:lineRule="auto"/>
        <w:ind w:firstLine="480"/>
        <w:rPr>
          <w:color w:val="auto"/>
          <w:sz w:val="24"/>
        </w:rPr>
      </w:pPr>
      <w:r>
        <w:rPr>
          <w:rFonts w:hint="eastAsia"/>
          <w:color w:val="auto"/>
          <w:sz w:val="24"/>
        </w:rPr>
        <w:t>本工程</w:t>
      </w:r>
      <w:r>
        <w:rPr>
          <w:color w:val="auto"/>
          <w:sz w:val="24"/>
        </w:rPr>
        <w:t>110kV</w:t>
      </w:r>
      <w:r>
        <w:rPr>
          <w:rFonts w:hint="eastAsia"/>
          <w:color w:val="auto"/>
          <w:sz w:val="24"/>
        </w:rPr>
        <w:t>变电站采用类比法进行分析评价。</w:t>
      </w:r>
    </w:p>
    <w:p>
      <w:pPr>
        <w:adjustRightInd w:val="0"/>
        <w:snapToGrid w:val="0"/>
        <w:spacing w:line="360" w:lineRule="auto"/>
        <w:ind w:firstLine="480"/>
        <w:rPr>
          <w:color w:val="auto"/>
          <w:sz w:val="24"/>
        </w:rPr>
      </w:pPr>
      <w:r>
        <w:rPr>
          <w:rFonts w:hint="eastAsia"/>
          <w:color w:val="auto"/>
          <w:sz w:val="24"/>
        </w:rPr>
        <w:t>工频电场主要取决于电压等级及关心点与源的距离，并与环境湿度、植被及地理地形因子等屏蔽条件相关；工频磁场主要取决于电流及关心点与源的距离。</w:t>
      </w:r>
    </w:p>
    <w:p>
      <w:pPr>
        <w:adjustRightInd w:val="0"/>
        <w:snapToGrid w:val="0"/>
        <w:spacing w:line="360" w:lineRule="auto"/>
        <w:ind w:firstLine="480"/>
        <w:rPr>
          <w:color w:val="auto"/>
          <w:sz w:val="24"/>
        </w:rPr>
      </w:pPr>
      <w:r>
        <w:rPr>
          <w:rFonts w:hint="eastAsia"/>
          <w:color w:val="auto"/>
          <w:sz w:val="24"/>
        </w:rPr>
        <w:t>变电站电磁环境类比测量，从严格意义讲，具有相同的变电站型式、完全相同的设备型号（决定了电压等级及额定功率、额定电流等）、布置情况（决定了距离因子）和环境条件是最理想的，即：不仅有相同变电站型式、主变压器数量和容量，而且一次主接线也相同，布置情况及环境条件也相同。但是要满足这样的条件是很困难的，要解决这一实际困难，可以在关键部分相同，而达到进行类比的条件。所谓关键部分，就是主要的工频电场、工频磁场产生源。</w:t>
      </w:r>
    </w:p>
    <w:p>
      <w:pPr>
        <w:adjustRightInd w:val="0"/>
        <w:snapToGrid w:val="0"/>
        <w:spacing w:line="360" w:lineRule="auto"/>
        <w:ind w:firstLine="480"/>
        <w:rPr>
          <w:color w:val="auto"/>
          <w:sz w:val="24"/>
        </w:rPr>
      </w:pPr>
      <w:r>
        <w:rPr>
          <w:rFonts w:hint="eastAsia"/>
          <w:color w:val="auto"/>
          <w:sz w:val="24"/>
        </w:rPr>
        <w:t>根据电磁场理论：</w:t>
      </w:r>
    </w:p>
    <w:p>
      <w:pPr>
        <w:adjustRightInd w:val="0"/>
        <w:snapToGrid w:val="0"/>
        <w:spacing w:line="360" w:lineRule="auto"/>
        <w:ind w:firstLine="480"/>
        <w:rPr>
          <w:color w:val="auto"/>
          <w:sz w:val="24"/>
        </w:rPr>
      </w:pPr>
      <w:r>
        <w:rPr>
          <w:rFonts w:hint="eastAsia"/>
          <w:color w:val="auto"/>
          <w:sz w:val="24"/>
        </w:rPr>
        <w:t>（</w:t>
      </w:r>
      <w:r>
        <w:rPr>
          <w:color w:val="auto"/>
          <w:sz w:val="24"/>
        </w:rPr>
        <w:t>1</w:t>
      </w:r>
      <w:r>
        <w:rPr>
          <w:rFonts w:hint="eastAsia"/>
          <w:color w:val="auto"/>
          <w:sz w:val="24"/>
        </w:rPr>
        <w:t>）电荷或者带电导体周围存在着电场；有规则地运动的电荷或者流过导体的电流周围存在着磁场。亦即电压产生电场而电流则产生磁场。</w:t>
      </w:r>
    </w:p>
    <w:p>
      <w:pPr>
        <w:adjustRightInd w:val="0"/>
        <w:snapToGrid w:val="0"/>
        <w:spacing w:line="360" w:lineRule="auto"/>
        <w:ind w:firstLine="480"/>
        <w:rPr>
          <w:color w:val="auto"/>
          <w:sz w:val="24"/>
        </w:rPr>
      </w:pPr>
      <w:r>
        <w:rPr>
          <w:rFonts w:hint="eastAsia"/>
          <w:color w:val="auto"/>
          <w:sz w:val="24"/>
        </w:rPr>
        <w:t>（</w:t>
      </w:r>
      <w:r>
        <w:rPr>
          <w:color w:val="auto"/>
          <w:sz w:val="24"/>
        </w:rPr>
        <w:t>2</w:t>
      </w:r>
      <w:r>
        <w:rPr>
          <w:rFonts w:hint="eastAsia"/>
          <w:color w:val="auto"/>
          <w:sz w:val="24"/>
        </w:rPr>
        <w:t>）工频电场和工频磁场随距离衰减很快，即随距离的平方和三次方衰减，是工频电场和工频磁场的基本衰减特性。</w:t>
      </w:r>
    </w:p>
    <w:p>
      <w:pPr>
        <w:adjustRightInd w:val="0"/>
        <w:snapToGrid w:val="0"/>
        <w:spacing w:line="360" w:lineRule="auto"/>
        <w:ind w:firstLine="480"/>
        <w:rPr>
          <w:color w:val="auto"/>
          <w:sz w:val="24"/>
        </w:rPr>
      </w:pPr>
      <w:r>
        <w:rPr>
          <w:rFonts w:hint="eastAsia"/>
          <w:color w:val="auto"/>
          <w:sz w:val="24"/>
        </w:rPr>
        <w:t>工频电场强度主要取决于电压等级及关心点与源的距离，并与环境湿度、植被及地理地形因子等屏蔽条件相关；工频磁场主要取决于电流及关心点与源的距离。</w:t>
      </w:r>
    </w:p>
    <w:p>
      <w:pPr>
        <w:adjustRightInd w:val="0"/>
        <w:snapToGrid w:val="0"/>
        <w:spacing w:line="360" w:lineRule="auto"/>
        <w:ind w:firstLine="480"/>
        <w:rPr>
          <w:color w:val="auto"/>
          <w:sz w:val="24"/>
        </w:rPr>
      </w:pPr>
      <w:r>
        <w:rPr>
          <w:rFonts w:hint="eastAsia"/>
          <w:color w:val="auto"/>
          <w:sz w:val="24"/>
        </w:rPr>
        <w:t>对于变电站外的工频电场，要求距离围墙最近的高压带电构架或电气设备布置一致、电压相同，此时就可以认为具有可比性；同样对于变电站外的工频磁场，也要求最近的通流导体的布置和电流相同才具有可比性。实际情况是，工频电场的类比条件相对容易实现，因为变电站主设备和母线电压是基本稳定的，不会随时间和负荷的变化而产生大的变化。但是产生工频磁场的电流却是随负荷变化而有较大的变化。</w:t>
      </w:r>
    </w:p>
    <w:p>
      <w:pPr>
        <w:adjustRightInd w:val="0"/>
        <w:snapToGrid w:val="0"/>
        <w:spacing w:line="360" w:lineRule="auto"/>
        <w:ind w:firstLine="480"/>
        <w:rPr>
          <w:color w:val="auto"/>
          <w:sz w:val="24"/>
        </w:rPr>
      </w:pPr>
      <w:r>
        <w:rPr>
          <w:rFonts w:hint="eastAsia"/>
          <w:color w:val="auto"/>
          <w:sz w:val="24"/>
        </w:rPr>
        <w:t>根据以往对诸多变电站的电磁环境的类比监测结果，变电站周围的工频磁场远小于</w:t>
      </w:r>
      <w:r>
        <w:rPr>
          <w:color w:val="auto"/>
          <w:sz w:val="24"/>
        </w:rPr>
        <w:t>100μT</w:t>
      </w:r>
      <w:r>
        <w:rPr>
          <w:rFonts w:hint="eastAsia"/>
          <w:color w:val="auto"/>
          <w:sz w:val="24"/>
        </w:rPr>
        <w:t>的限值标准，因此本工程主要针对工频电场选取类比对象。</w:t>
      </w:r>
    </w:p>
    <w:p>
      <w:pPr>
        <w:spacing w:line="360" w:lineRule="auto"/>
        <w:rPr>
          <w:b/>
          <w:color w:val="auto"/>
          <w:sz w:val="24"/>
          <w:u w:val="single"/>
        </w:rPr>
      </w:pPr>
      <w:r>
        <w:rPr>
          <w:b/>
          <w:color w:val="auto"/>
          <w:sz w:val="24"/>
          <w:u w:val="single"/>
        </w:rPr>
        <w:t>3.1.2</w:t>
      </w:r>
      <w:r>
        <w:rPr>
          <w:rFonts w:hint="eastAsia"/>
          <w:b/>
          <w:color w:val="auto"/>
          <w:sz w:val="24"/>
          <w:u w:val="single"/>
        </w:rPr>
        <w:t>类比对象</w:t>
      </w:r>
    </w:p>
    <w:p>
      <w:pPr>
        <w:adjustRightInd w:val="0"/>
        <w:snapToGrid w:val="0"/>
        <w:spacing w:line="360" w:lineRule="auto"/>
        <w:ind w:firstLine="480"/>
        <w:rPr>
          <w:color w:val="auto"/>
          <w:sz w:val="24"/>
          <w:u w:val="single"/>
        </w:rPr>
      </w:pPr>
      <w:r>
        <w:rPr>
          <w:rFonts w:hint="eastAsia"/>
          <w:color w:val="auto"/>
          <w:sz w:val="24"/>
          <w:u w:val="single"/>
        </w:rPr>
        <w:t>根据上述类比原则以及本工程的规模、电压等级、容量、平面布置等因素，本工程户内变电站选择湖南长沙梅溪湖</w:t>
      </w:r>
      <w:r>
        <w:rPr>
          <w:color w:val="auto"/>
          <w:sz w:val="24"/>
          <w:u w:val="single"/>
        </w:rPr>
        <w:t>110kV</w:t>
      </w:r>
      <w:r>
        <w:rPr>
          <w:rFonts w:hint="eastAsia"/>
          <w:color w:val="auto"/>
          <w:sz w:val="24"/>
          <w:u w:val="single"/>
        </w:rPr>
        <w:t>变电站作为的类比对象。梅溪湖变电站均已通过竣工环保验收，目前运行稳定。目前省内已建成投运的储能站包括220kV榔梨储能电站（24MW/48MWh）、220kV芙蓉储能电站（26MW/52MWh）和220kV延农储能电站（12MW/24MWh），上述储能站规模相比本工程都较小，选用上述规模中最大的芙蓉站作为储能站类比对象。</w:t>
      </w:r>
    </w:p>
    <w:p>
      <w:pPr>
        <w:spacing w:line="360" w:lineRule="auto"/>
        <w:rPr>
          <w:b/>
          <w:color w:val="auto"/>
          <w:sz w:val="24"/>
          <w:u w:val="single"/>
        </w:rPr>
      </w:pPr>
      <w:r>
        <w:rPr>
          <w:b/>
          <w:color w:val="auto"/>
          <w:sz w:val="24"/>
          <w:u w:val="single"/>
        </w:rPr>
        <w:t>3.1.3</w:t>
      </w:r>
      <w:r>
        <w:rPr>
          <w:rFonts w:hint="eastAsia"/>
          <w:b/>
          <w:color w:val="auto"/>
          <w:sz w:val="24"/>
          <w:u w:val="single"/>
        </w:rPr>
        <w:t>变电站类比对象的可比性分析</w:t>
      </w:r>
    </w:p>
    <w:p>
      <w:pPr>
        <w:spacing w:line="360" w:lineRule="auto"/>
        <w:ind w:firstLine="482"/>
        <w:rPr>
          <w:color w:val="auto"/>
          <w:sz w:val="24"/>
          <w:szCs w:val="24"/>
          <w:u w:val="single"/>
        </w:rPr>
      </w:pPr>
      <w:r>
        <w:rPr>
          <w:rFonts w:hint="eastAsia"/>
          <w:color w:val="auto"/>
          <w:sz w:val="24"/>
          <w:u w:val="single"/>
        </w:rPr>
        <w:t>根据类比对象选择的原则，工频电场主要与运行电压及布置型式有关，只要电压等级相同、布型式一致、出线方式相同，工频电场的影响就具有可类比性；工频磁场主要与主变容量有关。本工程变电站与类比变电站类比条件情况见</w:t>
      </w:r>
      <w:r>
        <w:rPr>
          <w:color w:val="auto"/>
          <w:u w:val="single"/>
        </w:rPr>
        <w:t>6</w:t>
      </w:r>
      <w:r>
        <w:rPr>
          <w:rFonts w:hint="eastAsia"/>
          <w:color w:val="auto"/>
          <w:sz w:val="24"/>
          <w:szCs w:val="24"/>
          <w:u w:val="single"/>
        </w:rPr>
        <w:t>。</w:t>
      </w:r>
    </w:p>
    <w:p>
      <w:pPr>
        <w:jc w:val="center"/>
        <w:rPr>
          <w:b/>
          <w:color w:val="auto"/>
          <w:sz w:val="24"/>
          <w:szCs w:val="24"/>
          <w:u w:val="single"/>
        </w:rPr>
      </w:pPr>
      <w:bookmarkStart w:id="53" w:name="_Ref35434210"/>
      <w:r>
        <w:rPr>
          <w:rFonts w:hint="eastAsia"/>
          <w:b/>
          <w:color w:val="auto"/>
          <w:sz w:val="24"/>
          <w:szCs w:val="24"/>
          <w:u w:val="single"/>
        </w:rPr>
        <w:t>表</w:t>
      </w:r>
      <w:bookmarkEnd w:id="53"/>
      <w:r>
        <w:rPr>
          <w:b/>
          <w:color w:val="auto"/>
          <w:sz w:val="24"/>
          <w:szCs w:val="24"/>
          <w:u w:val="single"/>
        </w:rPr>
        <w:t xml:space="preserve">6  </w:t>
      </w:r>
      <w:r>
        <w:rPr>
          <w:rFonts w:hint="eastAsia"/>
          <w:b/>
          <w:color w:val="auto"/>
          <w:sz w:val="24"/>
          <w:szCs w:val="24"/>
          <w:u w:val="single"/>
        </w:rPr>
        <w:t>本工程变电站与类比变电站类比条件对照一览表</w:t>
      </w:r>
    </w:p>
    <w:tbl>
      <w:tblPr>
        <w:tblStyle w:val="86"/>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356"/>
        <w:gridCol w:w="2925"/>
        <w:gridCol w:w="30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56" w:type="dxa"/>
            <w:tcBorders>
              <w:tl2br w:val="single" w:color="auto" w:sz="8" w:space="0"/>
            </w:tcBorders>
            <w:shd w:val="clear" w:color="auto" w:fill="auto"/>
            <w:vAlign w:val="center"/>
          </w:tcPr>
          <w:p>
            <w:pPr>
              <w:widowControl/>
              <w:jc w:val="right"/>
              <w:rPr>
                <w:b/>
                <w:bCs/>
                <w:color w:val="auto"/>
                <w:kern w:val="0"/>
                <w:szCs w:val="21"/>
                <w:u w:val="single"/>
              </w:rPr>
            </w:pPr>
            <w:r>
              <w:rPr>
                <w:rFonts w:hint="eastAsia"/>
                <w:b/>
                <w:bCs/>
                <w:color w:val="auto"/>
                <w:kern w:val="0"/>
                <w:szCs w:val="21"/>
                <w:u w:val="single"/>
              </w:rPr>
              <w:t>变电站名称</w:t>
            </w:r>
          </w:p>
          <w:p>
            <w:pPr>
              <w:widowControl/>
              <w:ind w:right="1050"/>
              <w:rPr>
                <w:b/>
                <w:bCs/>
                <w:color w:val="auto"/>
                <w:kern w:val="0"/>
                <w:szCs w:val="21"/>
                <w:u w:val="single"/>
              </w:rPr>
            </w:pPr>
            <w:r>
              <w:rPr>
                <w:rFonts w:hint="eastAsia"/>
                <w:b/>
                <w:bCs/>
                <w:color w:val="auto"/>
                <w:kern w:val="0"/>
                <w:szCs w:val="21"/>
                <w:u w:val="single"/>
              </w:rPr>
              <w:t>项目</w:t>
            </w:r>
          </w:p>
        </w:tc>
        <w:tc>
          <w:tcPr>
            <w:tcW w:w="2925" w:type="dxa"/>
            <w:shd w:val="clear" w:color="auto" w:fill="auto"/>
            <w:vAlign w:val="center"/>
          </w:tcPr>
          <w:p>
            <w:pPr>
              <w:widowControl/>
              <w:jc w:val="center"/>
              <w:rPr>
                <w:b/>
                <w:bCs/>
                <w:color w:val="auto"/>
                <w:kern w:val="0"/>
                <w:szCs w:val="21"/>
                <w:u w:val="single"/>
              </w:rPr>
            </w:pPr>
            <w:r>
              <w:rPr>
                <w:rFonts w:hint="eastAsia"/>
                <w:b/>
                <w:bCs/>
                <w:color w:val="auto"/>
                <w:kern w:val="0"/>
                <w:szCs w:val="21"/>
                <w:u w:val="single"/>
              </w:rPr>
              <w:t>城步儒林储能变电站</w:t>
            </w:r>
          </w:p>
        </w:tc>
        <w:tc>
          <w:tcPr>
            <w:tcW w:w="3062" w:type="dxa"/>
            <w:shd w:val="clear" w:color="auto" w:fill="auto"/>
            <w:vAlign w:val="center"/>
          </w:tcPr>
          <w:p>
            <w:pPr>
              <w:widowControl/>
              <w:jc w:val="center"/>
              <w:rPr>
                <w:b/>
                <w:bCs/>
                <w:color w:val="auto"/>
                <w:kern w:val="0"/>
                <w:szCs w:val="21"/>
                <w:u w:val="single"/>
              </w:rPr>
            </w:pPr>
            <w:r>
              <w:rPr>
                <w:rFonts w:hint="eastAsia"/>
                <w:b/>
                <w:color w:val="auto"/>
                <w:szCs w:val="21"/>
                <w:u w:val="single"/>
              </w:rPr>
              <w:t>梅溪湖</w:t>
            </w:r>
            <w:r>
              <w:rPr>
                <w:b/>
                <w:color w:val="auto"/>
                <w:szCs w:val="21"/>
                <w:u w:val="single"/>
              </w:rPr>
              <w:t>110kV</w:t>
            </w:r>
            <w:r>
              <w:rPr>
                <w:rFonts w:hint="eastAsia"/>
                <w:b/>
                <w:color w:val="auto"/>
                <w:szCs w:val="21"/>
                <w:u w:val="single"/>
              </w:rPr>
              <w:t>变电站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56" w:type="dxa"/>
            <w:shd w:val="clear" w:color="auto" w:fill="auto"/>
            <w:vAlign w:val="center"/>
          </w:tcPr>
          <w:p>
            <w:pPr>
              <w:widowControl/>
              <w:jc w:val="center"/>
              <w:rPr>
                <w:color w:val="auto"/>
                <w:kern w:val="0"/>
                <w:szCs w:val="21"/>
                <w:u w:val="single"/>
              </w:rPr>
            </w:pPr>
            <w:r>
              <w:rPr>
                <w:rFonts w:hint="eastAsia"/>
                <w:color w:val="auto"/>
                <w:kern w:val="0"/>
                <w:szCs w:val="21"/>
                <w:u w:val="single"/>
              </w:rPr>
              <w:t>电压等级（</w:t>
            </w:r>
            <w:r>
              <w:rPr>
                <w:color w:val="auto"/>
                <w:kern w:val="0"/>
                <w:szCs w:val="21"/>
                <w:u w:val="single"/>
              </w:rPr>
              <w:t>kV</w:t>
            </w:r>
            <w:r>
              <w:rPr>
                <w:rFonts w:hint="eastAsia"/>
                <w:color w:val="auto"/>
                <w:kern w:val="0"/>
                <w:szCs w:val="21"/>
                <w:u w:val="single"/>
              </w:rPr>
              <w:t>）</w:t>
            </w:r>
          </w:p>
        </w:tc>
        <w:tc>
          <w:tcPr>
            <w:tcW w:w="2925" w:type="dxa"/>
            <w:shd w:val="clear" w:color="auto" w:fill="auto"/>
            <w:vAlign w:val="center"/>
          </w:tcPr>
          <w:p>
            <w:pPr>
              <w:widowControl/>
              <w:jc w:val="center"/>
              <w:rPr>
                <w:color w:val="auto"/>
                <w:kern w:val="0"/>
                <w:szCs w:val="21"/>
                <w:u w:val="single"/>
              </w:rPr>
            </w:pPr>
            <w:r>
              <w:rPr>
                <w:color w:val="auto"/>
                <w:kern w:val="0"/>
                <w:szCs w:val="21"/>
                <w:u w:val="single"/>
              </w:rPr>
              <w:t>110</w:t>
            </w:r>
          </w:p>
        </w:tc>
        <w:tc>
          <w:tcPr>
            <w:tcW w:w="3062" w:type="dxa"/>
            <w:shd w:val="clear" w:color="auto" w:fill="auto"/>
            <w:vAlign w:val="center"/>
          </w:tcPr>
          <w:p>
            <w:pPr>
              <w:widowControl/>
              <w:jc w:val="center"/>
              <w:rPr>
                <w:color w:val="auto"/>
                <w:kern w:val="0"/>
                <w:szCs w:val="21"/>
                <w:u w:val="single"/>
              </w:rPr>
            </w:pPr>
            <w:r>
              <w:rPr>
                <w:color w:val="auto"/>
                <w:kern w:val="0"/>
                <w:szCs w:val="21"/>
                <w:u w:val="single"/>
              </w:rPr>
              <w:t>110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56" w:type="dxa"/>
            <w:shd w:val="clear" w:color="auto" w:fill="auto"/>
            <w:vAlign w:val="center"/>
          </w:tcPr>
          <w:p>
            <w:pPr>
              <w:widowControl/>
              <w:jc w:val="center"/>
              <w:rPr>
                <w:color w:val="auto"/>
                <w:kern w:val="0"/>
                <w:szCs w:val="21"/>
                <w:u w:val="single"/>
              </w:rPr>
            </w:pPr>
            <w:r>
              <w:rPr>
                <w:rFonts w:hint="eastAsia"/>
                <w:color w:val="auto"/>
                <w:kern w:val="0"/>
                <w:szCs w:val="21"/>
                <w:u w:val="single"/>
              </w:rPr>
              <w:t>布置形式</w:t>
            </w:r>
          </w:p>
        </w:tc>
        <w:tc>
          <w:tcPr>
            <w:tcW w:w="2925" w:type="dxa"/>
            <w:shd w:val="clear" w:color="auto" w:fill="auto"/>
            <w:vAlign w:val="center"/>
          </w:tcPr>
          <w:p>
            <w:pPr>
              <w:widowControl/>
              <w:jc w:val="center"/>
              <w:rPr>
                <w:color w:val="auto"/>
                <w:kern w:val="0"/>
                <w:szCs w:val="21"/>
                <w:u w:val="single"/>
              </w:rPr>
            </w:pPr>
            <w:r>
              <w:rPr>
                <w:rFonts w:hint="eastAsia"/>
                <w:color w:val="auto"/>
                <w:kern w:val="0"/>
                <w:szCs w:val="21"/>
                <w:u w:val="single"/>
              </w:rPr>
              <w:t>户内式</w:t>
            </w:r>
          </w:p>
        </w:tc>
        <w:tc>
          <w:tcPr>
            <w:tcW w:w="3062" w:type="dxa"/>
            <w:shd w:val="clear" w:color="auto" w:fill="auto"/>
            <w:vAlign w:val="center"/>
          </w:tcPr>
          <w:p>
            <w:pPr>
              <w:widowControl/>
              <w:jc w:val="center"/>
              <w:rPr>
                <w:color w:val="auto"/>
                <w:kern w:val="0"/>
                <w:szCs w:val="21"/>
                <w:u w:val="single"/>
              </w:rPr>
            </w:pPr>
            <w:r>
              <w:rPr>
                <w:rFonts w:hint="eastAsia"/>
                <w:color w:val="auto"/>
                <w:kern w:val="0"/>
                <w:szCs w:val="21"/>
                <w:u w:val="single"/>
              </w:rPr>
              <w:t>户内式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56" w:type="dxa"/>
            <w:shd w:val="clear" w:color="auto" w:fill="auto"/>
            <w:vAlign w:val="center"/>
          </w:tcPr>
          <w:p>
            <w:pPr>
              <w:widowControl/>
              <w:jc w:val="center"/>
              <w:rPr>
                <w:color w:val="auto"/>
                <w:kern w:val="0"/>
                <w:szCs w:val="21"/>
                <w:u w:val="single"/>
              </w:rPr>
            </w:pPr>
            <w:r>
              <w:rPr>
                <w:rFonts w:hint="eastAsia"/>
                <w:color w:val="auto"/>
                <w:kern w:val="0"/>
                <w:szCs w:val="21"/>
                <w:u w:val="single"/>
              </w:rPr>
              <w:t>主变容量（</w:t>
            </w:r>
            <w:r>
              <w:rPr>
                <w:color w:val="auto"/>
                <w:kern w:val="0"/>
                <w:szCs w:val="21"/>
                <w:u w:val="single"/>
              </w:rPr>
              <w:t>MVA</w:t>
            </w:r>
            <w:r>
              <w:rPr>
                <w:rFonts w:hint="eastAsia"/>
                <w:color w:val="auto"/>
                <w:kern w:val="0"/>
                <w:szCs w:val="21"/>
                <w:u w:val="single"/>
              </w:rPr>
              <w:t>）</w:t>
            </w:r>
          </w:p>
        </w:tc>
        <w:tc>
          <w:tcPr>
            <w:tcW w:w="2925" w:type="dxa"/>
            <w:shd w:val="clear" w:color="auto" w:fill="auto"/>
            <w:vAlign w:val="center"/>
          </w:tcPr>
          <w:p>
            <w:pPr>
              <w:widowControl/>
              <w:jc w:val="center"/>
              <w:rPr>
                <w:color w:val="auto"/>
                <w:kern w:val="0"/>
                <w:szCs w:val="21"/>
                <w:u w:val="single"/>
              </w:rPr>
            </w:pPr>
            <w:r>
              <w:rPr>
                <w:color w:val="auto"/>
                <w:szCs w:val="21"/>
                <w:u w:val="single"/>
              </w:rPr>
              <w:t>2×63</w:t>
            </w:r>
          </w:p>
        </w:tc>
        <w:tc>
          <w:tcPr>
            <w:tcW w:w="3062" w:type="dxa"/>
            <w:shd w:val="clear" w:color="auto" w:fill="auto"/>
            <w:vAlign w:val="center"/>
          </w:tcPr>
          <w:p>
            <w:pPr>
              <w:jc w:val="center"/>
              <w:rPr>
                <w:color w:val="auto"/>
                <w:szCs w:val="21"/>
                <w:u w:val="single"/>
              </w:rPr>
            </w:pPr>
            <w:r>
              <w:rPr>
                <w:color w:val="auto"/>
                <w:szCs w:val="21"/>
                <w:u w:val="single"/>
              </w:rPr>
              <w:t>2×63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56" w:type="dxa"/>
            <w:shd w:val="clear" w:color="auto" w:fill="auto"/>
            <w:vAlign w:val="center"/>
          </w:tcPr>
          <w:p>
            <w:pPr>
              <w:jc w:val="center"/>
              <w:rPr>
                <w:color w:val="auto"/>
                <w:kern w:val="0"/>
                <w:szCs w:val="21"/>
                <w:u w:val="single"/>
              </w:rPr>
            </w:pPr>
            <w:r>
              <w:rPr>
                <w:color w:val="auto"/>
                <w:kern w:val="0"/>
                <w:szCs w:val="21"/>
                <w:u w:val="single"/>
              </w:rPr>
              <w:t>110kV</w:t>
            </w:r>
            <w:r>
              <w:rPr>
                <w:rFonts w:hint="eastAsia"/>
                <w:color w:val="auto"/>
                <w:kern w:val="0"/>
                <w:szCs w:val="21"/>
                <w:u w:val="single"/>
              </w:rPr>
              <w:t>出线</w:t>
            </w:r>
          </w:p>
        </w:tc>
        <w:tc>
          <w:tcPr>
            <w:tcW w:w="2925" w:type="dxa"/>
            <w:shd w:val="clear" w:color="auto" w:fill="auto"/>
            <w:vAlign w:val="center"/>
          </w:tcPr>
          <w:p>
            <w:pPr>
              <w:widowControl/>
              <w:jc w:val="center"/>
              <w:rPr>
                <w:color w:val="auto"/>
                <w:kern w:val="0"/>
                <w:szCs w:val="21"/>
                <w:u w:val="single"/>
              </w:rPr>
            </w:pPr>
            <w:r>
              <w:rPr>
                <w:snapToGrid w:val="0"/>
                <w:color w:val="auto"/>
                <w:szCs w:val="21"/>
                <w:u w:val="single"/>
              </w:rPr>
              <w:t>1</w:t>
            </w:r>
            <w:r>
              <w:rPr>
                <w:rFonts w:hint="eastAsia"/>
                <w:snapToGrid w:val="0"/>
                <w:color w:val="auto"/>
                <w:szCs w:val="21"/>
                <w:u w:val="single"/>
              </w:rPr>
              <w:t>回</w:t>
            </w:r>
          </w:p>
        </w:tc>
        <w:tc>
          <w:tcPr>
            <w:tcW w:w="3062" w:type="dxa"/>
            <w:shd w:val="clear" w:color="auto" w:fill="auto"/>
            <w:vAlign w:val="center"/>
          </w:tcPr>
          <w:p>
            <w:pPr>
              <w:jc w:val="center"/>
              <w:rPr>
                <w:color w:val="auto"/>
                <w:szCs w:val="21"/>
                <w:u w:val="single"/>
              </w:rPr>
            </w:pPr>
            <w:r>
              <w:rPr>
                <w:color w:val="auto"/>
                <w:szCs w:val="21"/>
                <w:u w:val="single"/>
              </w:rPr>
              <w:t>2</w:t>
            </w:r>
            <w:r>
              <w:rPr>
                <w:rFonts w:hint="eastAsia"/>
                <w:color w:val="auto"/>
                <w:szCs w:val="21"/>
                <w:u w:val="single"/>
              </w:rPr>
              <w:t>回</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56" w:type="dxa"/>
            <w:shd w:val="clear" w:color="auto" w:fill="auto"/>
            <w:vAlign w:val="center"/>
          </w:tcPr>
          <w:p>
            <w:pPr>
              <w:widowControl/>
              <w:jc w:val="center"/>
              <w:rPr>
                <w:color w:val="auto"/>
                <w:kern w:val="0"/>
                <w:szCs w:val="21"/>
                <w:u w:val="single"/>
              </w:rPr>
            </w:pPr>
            <w:r>
              <w:rPr>
                <w:rFonts w:hint="eastAsia"/>
                <w:color w:val="auto"/>
                <w:kern w:val="0"/>
                <w:szCs w:val="21"/>
                <w:u w:val="single"/>
              </w:rPr>
              <w:t>所在地区</w:t>
            </w:r>
          </w:p>
        </w:tc>
        <w:tc>
          <w:tcPr>
            <w:tcW w:w="2925" w:type="dxa"/>
            <w:shd w:val="clear" w:color="auto" w:fill="auto"/>
            <w:vAlign w:val="center"/>
          </w:tcPr>
          <w:p>
            <w:pPr>
              <w:widowControl/>
              <w:jc w:val="center"/>
              <w:rPr>
                <w:color w:val="auto"/>
                <w:kern w:val="0"/>
                <w:szCs w:val="21"/>
                <w:u w:val="single"/>
              </w:rPr>
            </w:pPr>
            <w:r>
              <w:rPr>
                <w:rFonts w:hint="eastAsia"/>
                <w:color w:val="auto"/>
                <w:kern w:val="0"/>
                <w:szCs w:val="21"/>
                <w:u w:val="single"/>
              </w:rPr>
              <w:t>邵阳城步</w:t>
            </w:r>
          </w:p>
        </w:tc>
        <w:tc>
          <w:tcPr>
            <w:tcW w:w="3062" w:type="dxa"/>
            <w:shd w:val="clear" w:color="auto" w:fill="auto"/>
            <w:vAlign w:val="center"/>
          </w:tcPr>
          <w:p>
            <w:pPr>
              <w:widowControl/>
              <w:jc w:val="center"/>
              <w:rPr>
                <w:color w:val="auto"/>
                <w:kern w:val="0"/>
                <w:szCs w:val="21"/>
                <w:u w:val="single"/>
              </w:rPr>
            </w:pPr>
            <w:r>
              <w:rPr>
                <w:rFonts w:hint="eastAsia"/>
                <w:color w:val="auto"/>
                <w:szCs w:val="21"/>
                <w:u w:val="single"/>
              </w:rPr>
              <w:t>长沙市梅溪湖</w:t>
            </w:r>
          </w:p>
        </w:tc>
      </w:tr>
    </w:tbl>
    <w:p>
      <w:pPr>
        <w:spacing w:line="360" w:lineRule="auto"/>
        <w:ind w:firstLine="480" w:firstLineChars="200"/>
        <w:rPr>
          <w:color w:val="auto"/>
          <w:sz w:val="24"/>
          <w:u w:val="single"/>
        </w:rPr>
      </w:pPr>
      <w:r>
        <w:rPr>
          <w:rFonts w:hint="eastAsia"/>
          <w:color w:val="auto"/>
          <w:sz w:val="24"/>
          <w:u w:val="single"/>
        </w:rPr>
        <w:t>分析可知，本次评价的城步儒林储能变电站规模（电压等级、主变数量、容量、</w:t>
      </w:r>
      <w:r>
        <w:rPr>
          <w:color w:val="auto"/>
          <w:sz w:val="24"/>
          <w:u w:val="single"/>
        </w:rPr>
        <w:t>110kV</w:t>
      </w:r>
      <w:r>
        <w:rPr>
          <w:rFonts w:hint="eastAsia"/>
          <w:color w:val="auto"/>
          <w:sz w:val="24"/>
          <w:u w:val="single"/>
        </w:rPr>
        <w:t>出线）与类比对象梅溪湖站相同或相近。因此，采用梅溪湖变电站作为本工程变电站的类比对象是可行的。</w:t>
      </w:r>
      <w:bookmarkStart w:id="54" w:name="_Ref17847120"/>
    </w:p>
    <w:p>
      <w:pPr>
        <w:spacing w:line="360" w:lineRule="auto"/>
        <w:rPr>
          <w:b/>
          <w:color w:val="auto"/>
          <w:sz w:val="24"/>
        </w:rPr>
      </w:pPr>
      <w:r>
        <w:rPr>
          <w:b/>
          <w:color w:val="auto"/>
          <w:sz w:val="24"/>
        </w:rPr>
        <w:t>3.1.4</w:t>
      </w:r>
      <w:r>
        <w:rPr>
          <w:rFonts w:hint="eastAsia"/>
          <w:b/>
          <w:color w:val="auto"/>
          <w:sz w:val="24"/>
        </w:rPr>
        <w:t>变电站类比监测数据</w:t>
      </w:r>
    </w:p>
    <w:p>
      <w:pPr>
        <w:spacing w:line="360" w:lineRule="auto"/>
        <w:ind w:firstLine="480"/>
        <w:rPr>
          <w:rFonts w:eastAsiaTheme="minorEastAsia"/>
          <w:color w:val="auto"/>
          <w:sz w:val="24"/>
        </w:rPr>
      </w:pPr>
      <w:r>
        <w:rPr>
          <w:rFonts w:hint="eastAsia" w:eastAsiaTheme="minorEastAsia"/>
          <w:color w:val="auto"/>
          <w:sz w:val="24"/>
        </w:rPr>
        <w:t>（</w:t>
      </w:r>
      <w:r>
        <w:rPr>
          <w:rFonts w:eastAsiaTheme="minorEastAsia"/>
          <w:color w:val="auto"/>
          <w:sz w:val="24"/>
        </w:rPr>
        <w:t>1</w:t>
      </w:r>
      <w:r>
        <w:rPr>
          <w:rFonts w:hint="eastAsia" w:eastAsiaTheme="minorEastAsia"/>
          <w:color w:val="auto"/>
          <w:sz w:val="24"/>
        </w:rPr>
        <w:t>）监测单位</w:t>
      </w:r>
    </w:p>
    <w:p>
      <w:pPr>
        <w:spacing w:line="360" w:lineRule="auto"/>
        <w:ind w:firstLine="480"/>
        <w:rPr>
          <w:rFonts w:eastAsiaTheme="minorEastAsia"/>
          <w:color w:val="auto"/>
          <w:sz w:val="24"/>
        </w:rPr>
      </w:pPr>
      <w:r>
        <w:rPr>
          <w:rFonts w:hint="eastAsia" w:eastAsiaTheme="minorEastAsia"/>
          <w:color w:val="auto"/>
          <w:sz w:val="24"/>
        </w:rPr>
        <w:t>湖南省湘电试验研究院有限公司。</w:t>
      </w:r>
    </w:p>
    <w:p>
      <w:pPr>
        <w:spacing w:line="360" w:lineRule="auto"/>
        <w:ind w:firstLine="480"/>
        <w:rPr>
          <w:rFonts w:eastAsiaTheme="minorEastAsia"/>
          <w:color w:val="auto"/>
          <w:sz w:val="24"/>
        </w:rPr>
      </w:pPr>
      <w:r>
        <w:rPr>
          <w:rFonts w:hint="eastAsia" w:eastAsiaTheme="minorEastAsia"/>
          <w:color w:val="auto"/>
          <w:sz w:val="24"/>
        </w:rPr>
        <w:t>（</w:t>
      </w:r>
      <w:r>
        <w:rPr>
          <w:rFonts w:eastAsiaTheme="minorEastAsia"/>
          <w:color w:val="auto"/>
          <w:sz w:val="24"/>
        </w:rPr>
        <w:t>2</w:t>
      </w:r>
      <w:r>
        <w:rPr>
          <w:rFonts w:hint="eastAsia" w:eastAsiaTheme="minorEastAsia"/>
          <w:color w:val="auto"/>
          <w:sz w:val="24"/>
        </w:rPr>
        <w:t>）监测内容</w:t>
      </w:r>
    </w:p>
    <w:p>
      <w:pPr>
        <w:spacing w:line="360" w:lineRule="auto"/>
        <w:ind w:firstLine="480"/>
        <w:rPr>
          <w:rFonts w:eastAsiaTheme="minorEastAsia"/>
          <w:color w:val="auto"/>
          <w:sz w:val="24"/>
        </w:rPr>
      </w:pPr>
      <w:bookmarkStart w:id="55" w:name="_Hlk25747664"/>
      <w:r>
        <w:rPr>
          <w:rFonts w:hint="eastAsia" w:eastAsiaTheme="minorEastAsia"/>
          <w:color w:val="auto"/>
          <w:sz w:val="24"/>
        </w:rPr>
        <w:t>工频电场强度、工频磁感应强度</w:t>
      </w:r>
      <w:bookmarkEnd w:id="55"/>
      <w:r>
        <w:rPr>
          <w:rFonts w:hint="eastAsia" w:eastAsiaTheme="minorEastAsia"/>
          <w:color w:val="auto"/>
          <w:sz w:val="24"/>
        </w:rPr>
        <w:t>。</w:t>
      </w:r>
    </w:p>
    <w:p>
      <w:pPr>
        <w:spacing w:line="360" w:lineRule="auto"/>
        <w:ind w:firstLine="480"/>
        <w:rPr>
          <w:rFonts w:eastAsiaTheme="minorEastAsia"/>
          <w:color w:val="auto"/>
          <w:sz w:val="24"/>
        </w:rPr>
      </w:pPr>
      <w:r>
        <w:rPr>
          <w:rFonts w:hint="eastAsia" w:eastAsiaTheme="minorEastAsia"/>
          <w:color w:val="auto"/>
          <w:sz w:val="24"/>
        </w:rPr>
        <w:t>（</w:t>
      </w:r>
      <w:r>
        <w:rPr>
          <w:rFonts w:eastAsiaTheme="minorEastAsia"/>
          <w:color w:val="auto"/>
          <w:sz w:val="24"/>
        </w:rPr>
        <w:t>3</w:t>
      </w:r>
      <w:r>
        <w:rPr>
          <w:rFonts w:hint="eastAsia" w:eastAsiaTheme="minorEastAsia"/>
          <w:color w:val="auto"/>
          <w:sz w:val="24"/>
        </w:rPr>
        <w:t>）监测方法</w:t>
      </w:r>
    </w:p>
    <w:p>
      <w:pPr>
        <w:spacing w:line="360" w:lineRule="auto"/>
        <w:ind w:firstLine="480"/>
        <w:rPr>
          <w:rFonts w:eastAsiaTheme="minorEastAsia"/>
          <w:color w:val="auto"/>
          <w:sz w:val="24"/>
        </w:rPr>
      </w:pPr>
      <w:r>
        <w:rPr>
          <w:rFonts w:hint="eastAsia" w:eastAsiaTheme="minorEastAsia"/>
          <w:color w:val="auto"/>
          <w:sz w:val="24"/>
        </w:rPr>
        <w:t>电磁环境现状监测按《交流输变电工程电磁环境监测方法》（</w:t>
      </w:r>
      <w:r>
        <w:rPr>
          <w:rFonts w:eastAsiaTheme="minorEastAsia"/>
          <w:color w:val="auto"/>
          <w:sz w:val="24"/>
        </w:rPr>
        <w:t>HJ 681-2013</w:t>
      </w:r>
      <w:r>
        <w:rPr>
          <w:rFonts w:hint="eastAsia" w:eastAsiaTheme="minorEastAsia"/>
          <w:color w:val="auto"/>
          <w:sz w:val="24"/>
        </w:rPr>
        <w:t>）和《环境影响评价技术导则</w:t>
      </w:r>
      <w:r>
        <w:rPr>
          <w:rFonts w:eastAsiaTheme="minorEastAsia"/>
          <w:color w:val="auto"/>
          <w:sz w:val="24"/>
        </w:rPr>
        <w:t xml:space="preserve"> </w:t>
      </w:r>
      <w:r>
        <w:rPr>
          <w:rFonts w:hint="eastAsia" w:eastAsiaTheme="minorEastAsia"/>
          <w:color w:val="auto"/>
          <w:sz w:val="24"/>
        </w:rPr>
        <w:t>输变电工程》（</w:t>
      </w:r>
      <w:r>
        <w:rPr>
          <w:rFonts w:hint="eastAsia" w:eastAsiaTheme="minorEastAsia"/>
          <w:color w:val="auto"/>
          <w:sz w:val="24"/>
          <w:lang w:eastAsia="zh-CN"/>
        </w:rPr>
        <w:t>HJ24-2020</w:t>
      </w:r>
      <w:r>
        <w:rPr>
          <w:rFonts w:hint="eastAsia" w:eastAsiaTheme="minorEastAsia"/>
          <w:color w:val="auto"/>
          <w:sz w:val="24"/>
        </w:rPr>
        <w:t>）中相关规定执行。</w:t>
      </w:r>
    </w:p>
    <w:p>
      <w:pPr>
        <w:spacing w:line="360" w:lineRule="auto"/>
        <w:ind w:firstLine="480"/>
        <w:rPr>
          <w:rFonts w:eastAsiaTheme="minorEastAsia"/>
          <w:color w:val="auto"/>
          <w:sz w:val="24"/>
        </w:rPr>
      </w:pPr>
      <w:r>
        <w:rPr>
          <w:rFonts w:hint="eastAsia" w:eastAsiaTheme="minorEastAsia"/>
          <w:color w:val="auto"/>
          <w:sz w:val="24"/>
        </w:rPr>
        <w:t>（</w:t>
      </w:r>
      <w:r>
        <w:rPr>
          <w:rFonts w:eastAsiaTheme="minorEastAsia"/>
          <w:color w:val="auto"/>
          <w:sz w:val="24"/>
        </w:rPr>
        <w:t>4</w:t>
      </w:r>
      <w:r>
        <w:rPr>
          <w:rFonts w:hint="eastAsia" w:eastAsiaTheme="minorEastAsia"/>
          <w:color w:val="auto"/>
          <w:sz w:val="24"/>
        </w:rPr>
        <w:t>）监测仪器</w:t>
      </w:r>
    </w:p>
    <w:p>
      <w:pPr>
        <w:pStyle w:val="23"/>
        <w:keepNext/>
        <w:spacing w:before="0" w:after="0"/>
        <w:jc w:val="left"/>
        <w:rPr>
          <w:rFonts w:ascii="Times New Roman" w:hAnsi="Times New Roman" w:cs="Times New Roman"/>
          <w:b/>
          <w:color w:val="auto"/>
          <w:szCs w:val="24"/>
        </w:rPr>
      </w:pPr>
      <w:r>
        <w:rPr>
          <w:rFonts w:hint="eastAsia" w:ascii="Times New Roman" w:hAnsi="Times New Roman" w:cs="Times New Roman" w:eastAsiaTheme="minorEastAsia"/>
          <w:color w:val="auto"/>
        </w:rPr>
        <w:t>类比监测所用相关仪器情况见表</w:t>
      </w:r>
      <w:r>
        <w:rPr>
          <w:rFonts w:ascii="Times New Roman" w:hAnsi="Times New Roman" w:cs="Times New Roman" w:eastAsiaTheme="minorEastAsia"/>
          <w:color w:val="auto"/>
        </w:rPr>
        <w:t>7</w:t>
      </w:r>
      <w:r>
        <w:rPr>
          <w:rFonts w:hint="eastAsia" w:ascii="Times New Roman" w:hAnsi="Times New Roman" w:cs="Times New Roman" w:eastAsiaTheme="minorEastAsia"/>
          <w:color w:val="auto"/>
        </w:rPr>
        <w:t>。</w:t>
      </w:r>
      <w:bookmarkStart w:id="56" w:name="_Ref16774898"/>
    </w:p>
    <w:p>
      <w:pPr>
        <w:pStyle w:val="23"/>
        <w:keepNext/>
        <w:spacing w:before="0" w:after="0"/>
        <w:ind w:firstLine="482"/>
        <w:jc w:val="center"/>
        <w:rPr>
          <w:rFonts w:ascii="Times New Roman" w:hAnsi="Times New Roman" w:cs="Times New Roman"/>
          <w:b/>
          <w:color w:val="auto"/>
          <w:szCs w:val="24"/>
        </w:rPr>
      </w:pPr>
      <w:r>
        <w:rPr>
          <w:rFonts w:hint="eastAsia" w:ascii="Times New Roman" w:hAnsi="Times New Roman" w:cs="Times New Roman"/>
          <w:b/>
          <w:color w:val="auto"/>
          <w:szCs w:val="24"/>
        </w:rPr>
        <w:t>表</w:t>
      </w:r>
      <w:bookmarkEnd w:id="56"/>
      <w:r>
        <w:rPr>
          <w:rFonts w:ascii="Times New Roman" w:hAnsi="Times New Roman" w:cs="Times New Roman"/>
          <w:b/>
          <w:color w:val="auto"/>
          <w:szCs w:val="24"/>
        </w:rPr>
        <w:t xml:space="preserve">7    </w:t>
      </w:r>
      <w:r>
        <w:rPr>
          <w:rFonts w:hint="eastAsia" w:ascii="Times New Roman" w:hAnsi="Times New Roman" w:cs="Times New Roman"/>
          <w:b/>
          <w:color w:val="auto"/>
          <w:szCs w:val="24"/>
        </w:rPr>
        <w:t>监测所用仪器一览表</w:t>
      </w:r>
    </w:p>
    <w:tbl>
      <w:tblPr>
        <w:tblStyle w:val="86"/>
        <w:tblW w:w="872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919"/>
        <w:gridCol w:w="3651"/>
        <w:gridCol w:w="315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919" w:type="dxa"/>
            <w:vAlign w:val="center"/>
          </w:tcPr>
          <w:p>
            <w:pPr>
              <w:jc w:val="center"/>
              <w:rPr>
                <w:rFonts w:eastAsiaTheme="minorEastAsia"/>
                <w:color w:val="auto"/>
                <w:szCs w:val="21"/>
              </w:rPr>
            </w:pPr>
            <w:r>
              <w:rPr>
                <w:rFonts w:eastAsiaTheme="minorEastAsia"/>
                <w:color w:val="auto"/>
                <w:szCs w:val="21"/>
              </w:rPr>
              <w:t>监测仪</w:t>
            </w:r>
          </w:p>
        </w:tc>
        <w:tc>
          <w:tcPr>
            <w:tcW w:w="3651" w:type="dxa"/>
            <w:vAlign w:val="center"/>
          </w:tcPr>
          <w:p>
            <w:pPr>
              <w:jc w:val="center"/>
              <w:rPr>
                <w:rFonts w:eastAsiaTheme="minorEastAsia"/>
                <w:color w:val="auto"/>
                <w:szCs w:val="21"/>
              </w:rPr>
            </w:pPr>
            <w:r>
              <w:rPr>
                <w:rFonts w:eastAsiaTheme="minorEastAsia"/>
                <w:color w:val="auto"/>
                <w:szCs w:val="21"/>
              </w:rPr>
              <w:t>SEM-600/LF-01工频电磁场仪</w:t>
            </w:r>
          </w:p>
        </w:tc>
        <w:tc>
          <w:tcPr>
            <w:tcW w:w="3156" w:type="dxa"/>
            <w:vAlign w:val="center"/>
          </w:tcPr>
          <w:p>
            <w:pPr>
              <w:jc w:val="center"/>
              <w:rPr>
                <w:rFonts w:eastAsiaTheme="minorEastAsia"/>
                <w:color w:val="auto"/>
                <w:szCs w:val="21"/>
              </w:rPr>
            </w:pPr>
            <w:r>
              <w:rPr>
                <w:rFonts w:hint="eastAsia" w:eastAsiaTheme="minorEastAsia"/>
                <w:color w:val="auto"/>
                <w:szCs w:val="21"/>
              </w:rPr>
              <w:t>多功能测量仪</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919" w:type="dxa"/>
            <w:vAlign w:val="center"/>
          </w:tcPr>
          <w:p>
            <w:pPr>
              <w:jc w:val="center"/>
              <w:rPr>
                <w:rFonts w:eastAsiaTheme="minorEastAsia"/>
                <w:color w:val="auto"/>
                <w:szCs w:val="21"/>
              </w:rPr>
            </w:pPr>
            <w:r>
              <w:rPr>
                <w:rFonts w:eastAsiaTheme="minorEastAsia"/>
                <w:color w:val="auto"/>
                <w:szCs w:val="21"/>
              </w:rPr>
              <w:t>生产厂家</w:t>
            </w:r>
          </w:p>
        </w:tc>
        <w:tc>
          <w:tcPr>
            <w:tcW w:w="3651" w:type="dxa"/>
            <w:vAlign w:val="center"/>
          </w:tcPr>
          <w:p>
            <w:pPr>
              <w:jc w:val="center"/>
              <w:rPr>
                <w:rFonts w:eastAsiaTheme="minorEastAsia"/>
                <w:color w:val="auto"/>
                <w:szCs w:val="21"/>
              </w:rPr>
            </w:pPr>
            <w:r>
              <w:rPr>
                <w:rFonts w:eastAsiaTheme="minorEastAsia"/>
                <w:color w:val="auto"/>
                <w:szCs w:val="21"/>
              </w:rPr>
              <w:t>北京森馥</w:t>
            </w:r>
          </w:p>
        </w:tc>
        <w:tc>
          <w:tcPr>
            <w:tcW w:w="3156" w:type="dxa"/>
            <w:vAlign w:val="center"/>
          </w:tcPr>
          <w:p>
            <w:pPr>
              <w:jc w:val="center"/>
              <w:rPr>
                <w:rFonts w:eastAsiaTheme="minorEastAsia"/>
                <w:color w:val="auto"/>
                <w:szCs w:val="21"/>
              </w:rPr>
            </w:pPr>
            <w:r>
              <w:rPr>
                <w:rFonts w:eastAsiaTheme="minorEastAsia"/>
                <w:color w:val="auto"/>
                <w:szCs w:val="21"/>
              </w:rPr>
              <w:t>VT210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919" w:type="dxa"/>
            <w:vAlign w:val="center"/>
          </w:tcPr>
          <w:p>
            <w:pPr>
              <w:jc w:val="center"/>
              <w:rPr>
                <w:rFonts w:eastAsiaTheme="minorEastAsia"/>
                <w:color w:val="auto"/>
                <w:szCs w:val="21"/>
              </w:rPr>
            </w:pPr>
            <w:r>
              <w:rPr>
                <w:rFonts w:eastAsiaTheme="minorEastAsia"/>
                <w:color w:val="auto"/>
                <w:szCs w:val="21"/>
              </w:rPr>
              <w:t>检定单位</w:t>
            </w:r>
          </w:p>
        </w:tc>
        <w:tc>
          <w:tcPr>
            <w:tcW w:w="3651" w:type="dxa"/>
            <w:vAlign w:val="center"/>
          </w:tcPr>
          <w:p>
            <w:pPr>
              <w:jc w:val="center"/>
              <w:rPr>
                <w:rFonts w:eastAsiaTheme="minorEastAsia"/>
                <w:color w:val="auto"/>
                <w:szCs w:val="21"/>
              </w:rPr>
            </w:pPr>
            <w:r>
              <w:rPr>
                <w:rFonts w:eastAsiaTheme="minorEastAsia"/>
                <w:color w:val="auto"/>
                <w:szCs w:val="21"/>
              </w:rPr>
              <w:t>中国计量科学研究院</w:t>
            </w:r>
          </w:p>
        </w:tc>
        <w:tc>
          <w:tcPr>
            <w:tcW w:w="3156" w:type="dxa"/>
            <w:vAlign w:val="center"/>
          </w:tcPr>
          <w:p>
            <w:pPr>
              <w:jc w:val="center"/>
              <w:rPr>
                <w:rFonts w:eastAsiaTheme="minorEastAsia"/>
                <w:color w:val="auto"/>
                <w:szCs w:val="21"/>
              </w:rPr>
            </w:pPr>
            <w:r>
              <w:rPr>
                <w:rFonts w:hint="eastAsia" w:eastAsiaTheme="minorEastAsia"/>
                <w:color w:val="auto"/>
                <w:szCs w:val="21"/>
              </w:rPr>
              <w:t>广州广电计量检测股份有限公司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919" w:type="dxa"/>
            <w:vAlign w:val="center"/>
          </w:tcPr>
          <w:p>
            <w:pPr>
              <w:jc w:val="center"/>
              <w:rPr>
                <w:rFonts w:eastAsiaTheme="minorEastAsia"/>
                <w:color w:val="auto"/>
                <w:szCs w:val="21"/>
              </w:rPr>
            </w:pPr>
            <w:r>
              <w:rPr>
                <w:rFonts w:eastAsiaTheme="minorEastAsia"/>
                <w:color w:val="auto"/>
                <w:szCs w:val="21"/>
              </w:rPr>
              <w:t>证书编号</w:t>
            </w:r>
          </w:p>
        </w:tc>
        <w:tc>
          <w:tcPr>
            <w:tcW w:w="3651" w:type="dxa"/>
            <w:vAlign w:val="center"/>
          </w:tcPr>
          <w:p>
            <w:pPr>
              <w:jc w:val="center"/>
              <w:rPr>
                <w:rFonts w:eastAsiaTheme="minorEastAsia"/>
                <w:color w:val="auto"/>
                <w:szCs w:val="21"/>
              </w:rPr>
            </w:pPr>
            <w:r>
              <w:rPr>
                <w:rFonts w:eastAsiaTheme="minorEastAsia"/>
                <w:color w:val="auto"/>
                <w:szCs w:val="21"/>
              </w:rPr>
              <w:t>XDdj2018-1853</w:t>
            </w:r>
          </w:p>
        </w:tc>
        <w:tc>
          <w:tcPr>
            <w:tcW w:w="3156" w:type="dxa"/>
            <w:vAlign w:val="center"/>
          </w:tcPr>
          <w:p>
            <w:pPr>
              <w:jc w:val="center"/>
              <w:rPr>
                <w:rFonts w:eastAsiaTheme="minorEastAsia"/>
                <w:color w:val="auto"/>
                <w:szCs w:val="21"/>
              </w:rPr>
            </w:pPr>
            <w:r>
              <w:rPr>
                <w:rFonts w:eastAsiaTheme="minorEastAsia"/>
                <w:color w:val="auto"/>
                <w:szCs w:val="21"/>
              </w:rPr>
              <w:t>J201807254137-0001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1919" w:type="dxa"/>
            <w:vAlign w:val="center"/>
          </w:tcPr>
          <w:p>
            <w:pPr>
              <w:jc w:val="center"/>
              <w:rPr>
                <w:rFonts w:eastAsiaTheme="minorEastAsia"/>
                <w:color w:val="auto"/>
                <w:szCs w:val="21"/>
              </w:rPr>
            </w:pPr>
            <w:r>
              <w:rPr>
                <w:rFonts w:eastAsiaTheme="minorEastAsia"/>
                <w:color w:val="auto"/>
                <w:szCs w:val="21"/>
              </w:rPr>
              <w:t>检定有效期限至</w:t>
            </w:r>
          </w:p>
        </w:tc>
        <w:tc>
          <w:tcPr>
            <w:tcW w:w="3651" w:type="dxa"/>
            <w:vAlign w:val="center"/>
          </w:tcPr>
          <w:p>
            <w:pPr>
              <w:jc w:val="center"/>
              <w:rPr>
                <w:rFonts w:eastAsiaTheme="minorEastAsia"/>
                <w:color w:val="auto"/>
                <w:szCs w:val="21"/>
              </w:rPr>
            </w:pPr>
            <w:r>
              <w:rPr>
                <w:rFonts w:eastAsiaTheme="minorEastAsia"/>
                <w:color w:val="auto"/>
                <w:szCs w:val="21"/>
              </w:rPr>
              <w:t>2019年5月6日</w:t>
            </w:r>
          </w:p>
        </w:tc>
        <w:tc>
          <w:tcPr>
            <w:tcW w:w="3156" w:type="dxa"/>
            <w:vAlign w:val="center"/>
          </w:tcPr>
          <w:p>
            <w:pPr>
              <w:jc w:val="center"/>
              <w:rPr>
                <w:rFonts w:eastAsiaTheme="minorEastAsia"/>
                <w:color w:val="auto"/>
                <w:szCs w:val="21"/>
              </w:rPr>
            </w:pPr>
            <w:r>
              <w:rPr>
                <w:rFonts w:eastAsiaTheme="minorEastAsia"/>
                <w:color w:val="auto"/>
                <w:szCs w:val="21"/>
              </w:rPr>
              <w:t>2019年7月29日</w:t>
            </w:r>
          </w:p>
        </w:tc>
      </w:tr>
    </w:tbl>
    <w:p>
      <w:pPr>
        <w:spacing w:line="360" w:lineRule="auto"/>
        <w:ind w:firstLine="480"/>
        <w:rPr>
          <w:rFonts w:eastAsiaTheme="minorEastAsia"/>
          <w:color w:val="auto"/>
          <w:sz w:val="24"/>
        </w:rPr>
      </w:pPr>
      <w:r>
        <w:rPr>
          <w:rFonts w:hint="eastAsia" w:eastAsiaTheme="minorEastAsia"/>
          <w:color w:val="auto"/>
          <w:sz w:val="24"/>
        </w:rPr>
        <w:t>（</w:t>
      </w:r>
      <w:r>
        <w:rPr>
          <w:rFonts w:eastAsiaTheme="minorEastAsia"/>
          <w:color w:val="auto"/>
          <w:sz w:val="24"/>
        </w:rPr>
        <w:t>5</w:t>
      </w:r>
      <w:r>
        <w:rPr>
          <w:rFonts w:hint="eastAsia" w:eastAsiaTheme="minorEastAsia"/>
          <w:color w:val="auto"/>
          <w:sz w:val="24"/>
        </w:rPr>
        <w:t>）监测时间及气象条件</w:t>
      </w:r>
    </w:p>
    <w:p>
      <w:pPr>
        <w:spacing w:line="360" w:lineRule="auto"/>
        <w:ind w:firstLine="480"/>
        <w:rPr>
          <w:rFonts w:eastAsiaTheme="minorEastAsia"/>
          <w:color w:val="auto"/>
          <w:sz w:val="24"/>
        </w:rPr>
      </w:pPr>
      <w:r>
        <w:rPr>
          <w:rFonts w:hint="eastAsia" w:eastAsiaTheme="minorEastAsia"/>
          <w:color w:val="auto"/>
          <w:sz w:val="24"/>
        </w:rPr>
        <w:t>监测时间：</w:t>
      </w:r>
      <w:r>
        <w:rPr>
          <w:rFonts w:eastAsiaTheme="minorEastAsia"/>
          <w:color w:val="auto"/>
          <w:sz w:val="24"/>
        </w:rPr>
        <w:t>2019</w:t>
      </w:r>
      <w:r>
        <w:rPr>
          <w:rFonts w:hint="eastAsia" w:eastAsiaTheme="minorEastAsia"/>
          <w:color w:val="auto"/>
          <w:sz w:val="24"/>
        </w:rPr>
        <w:t>年</w:t>
      </w:r>
      <w:r>
        <w:rPr>
          <w:rFonts w:eastAsiaTheme="minorEastAsia"/>
          <w:color w:val="auto"/>
          <w:sz w:val="24"/>
        </w:rPr>
        <w:t>4</w:t>
      </w:r>
      <w:r>
        <w:rPr>
          <w:rFonts w:hint="eastAsia" w:eastAsiaTheme="minorEastAsia"/>
          <w:color w:val="auto"/>
          <w:sz w:val="24"/>
        </w:rPr>
        <w:t>月</w:t>
      </w:r>
      <w:r>
        <w:rPr>
          <w:rFonts w:eastAsiaTheme="minorEastAsia"/>
          <w:color w:val="auto"/>
          <w:sz w:val="24"/>
        </w:rPr>
        <w:t>9</w:t>
      </w:r>
      <w:r>
        <w:rPr>
          <w:rFonts w:hint="eastAsia" w:eastAsiaTheme="minorEastAsia"/>
          <w:color w:val="auto"/>
          <w:sz w:val="24"/>
        </w:rPr>
        <w:t>日；</w:t>
      </w:r>
    </w:p>
    <w:p>
      <w:pPr>
        <w:spacing w:line="360" w:lineRule="auto"/>
        <w:ind w:firstLine="480"/>
        <w:rPr>
          <w:rFonts w:eastAsiaTheme="minorEastAsia"/>
          <w:color w:val="auto"/>
          <w:sz w:val="24"/>
        </w:rPr>
      </w:pPr>
      <w:r>
        <w:rPr>
          <w:rFonts w:hint="eastAsia" w:eastAsiaTheme="minorEastAsia"/>
          <w:color w:val="auto"/>
          <w:sz w:val="24"/>
        </w:rPr>
        <w:t>气象条件：晴，温度：</w:t>
      </w:r>
      <w:r>
        <w:rPr>
          <w:rFonts w:eastAsiaTheme="minorEastAsia"/>
          <w:color w:val="auto"/>
          <w:sz w:val="24"/>
        </w:rPr>
        <w:t>14.7</w:t>
      </w:r>
      <w:r>
        <w:rPr>
          <w:rFonts w:hint="eastAsia" w:eastAsiaTheme="minorEastAsia"/>
          <w:color w:val="auto"/>
          <w:sz w:val="24"/>
        </w:rPr>
        <w:t>～19.7℃ 湿度：</w:t>
      </w:r>
      <w:r>
        <w:rPr>
          <w:rFonts w:eastAsiaTheme="minorEastAsia"/>
          <w:color w:val="auto"/>
          <w:sz w:val="24"/>
        </w:rPr>
        <w:t>47.1%</w:t>
      </w:r>
      <w:r>
        <w:rPr>
          <w:rFonts w:hint="eastAsia" w:eastAsiaTheme="minorEastAsia"/>
          <w:color w:val="auto"/>
          <w:sz w:val="24"/>
        </w:rPr>
        <w:t>～</w:t>
      </w:r>
      <w:r>
        <w:rPr>
          <w:rFonts w:eastAsiaTheme="minorEastAsia"/>
          <w:color w:val="auto"/>
          <w:sz w:val="24"/>
        </w:rPr>
        <w:t>52.9%</w:t>
      </w:r>
      <w:r>
        <w:rPr>
          <w:rFonts w:hint="eastAsia" w:eastAsiaTheme="minorEastAsia"/>
          <w:color w:val="auto"/>
          <w:sz w:val="24"/>
        </w:rPr>
        <w:t>。</w:t>
      </w:r>
    </w:p>
    <w:p>
      <w:pPr>
        <w:spacing w:line="360" w:lineRule="auto"/>
        <w:ind w:firstLine="480"/>
        <w:rPr>
          <w:rFonts w:eastAsiaTheme="minorEastAsia"/>
          <w:color w:val="auto"/>
          <w:sz w:val="24"/>
        </w:rPr>
      </w:pPr>
      <w:r>
        <w:rPr>
          <w:rFonts w:hint="eastAsia" w:eastAsiaTheme="minorEastAsia"/>
          <w:color w:val="auto"/>
          <w:sz w:val="24"/>
        </w:rPr>
        <w:t>（</w:t>
      </w:r>
      <w:r>
        <w:rPr>
          <w:rFonts w:eastAsiaTheme="minorEastAsia"/>
          <w:color w:val="auto"/>
          <w:sz w:val="24"/>
        </w:rPr>
        <w:t>6</w:t>
      </w:r>
      <w:r>
        <w:rPr>
          <w:rFonts w:hint="eastAsia" w:eastAsiaTheme="minorEastAsia"/>
          <w:color w:val="auto"/>
          <w:sz w:val="24"/>
        </w:rPr>
        <w:t>）监测期间运行工况</w:t>
      </w:r>
    </w:p>
    <w:p>
      <w:pPr>
        <w:spacing w:line="360" w:lineRule="auto"/>
        <w:ind w:firstLine="480"/>
        <w:rPr>
          <w:rFonts w:eastAsiaTheme="minorEastAsia"/>
          <w:color w:val="auto"/>
          <w:sz w:val="24"/>
        </w:rPr>
      </w:pPr>
      <w:r>
        <w:rPr>
          <w:rFonts w:hint="eastAsia" w:eastAsiaTheme="minorEastAsia"/>
          <w:color w:val="auto"/>
          <w:sz w:val="24"/>
        </w:rPr>
        <w:t>监测期间运行工况见表</w:t>
      </w:r>
      <w:r>
        <w:rPr>
          <w:rFonts w:eastAsiaTheme="minorEastAsia"/>
          <w:color w:val="auto"/>
          <w:sz w:val="24"/>
        </w:rPr>
        <w:t>8</w:t>
      </w:r>
      <w:r>
        <w:rPr>
          <w:rFonts w:hint="eastAsia" w:eastAsiaTheme="minorEastAsia"/>
          <w:color w:val="auto"/>
          <w:sz w:val="24"/>
        </w:rPr>
        <w:t>。</w:t>
      </w:r>
    </w:p>
    <w:p>
      <w:pPr>
        <w:pStyle w:val="23"/>
        <w:keepNext/>
        <w:spacing w:before="0" w:after="0"/>
        <w:ind w:firstLine="482"/>
        <w:jc w:val="center"/>
        <w:rPr>
          <w:rFonts w:ascii="Times New Roman" w:hAnsi="Times New Roman" w:cs="Times New Roman"/>
          <w:b/>
          <w:color w:val="auto"/>
          <w:szCs w:val="24"/>
        </w:rPr>
      </w:pPr>
      <w:bookmarkStart w:id="57" w:name="_Ref16774922"/>
      <w:r>
        <w:rPr>
          <w:rFonts w:hint="eastAsia" w:ascii="Times New Roman" w:hAnsi="Times New Roman" w:cs="Times New Roman"/>
          <w:b/>
          <w:color w:val="auto"/>
          <w:szCs w:val="24"/>
        </w:rPr>
        <w:t>表</w:t>
      </w:r>
      <w:r>
        <w:rPr>
          <w:rFonts w:ascii="Times New Roman" w:hAnsi="Times New Roman" w:cs="Times New Roman"/>
          <w:b/>
          <w:color w:val="auto"/>
          <w:szCs w:val="24"/>
        </w:rPr>
        <w:t xml:space="preserve"> </w:t>
      </w:r>
      <w:bookmarkEnd w:id="57"/>
      <w:r>
        <w:rPr>
          <w:rFonts w:ascii="Times New Roman" w:hAnsi="Times New Roman" w:cs="Times New Roman"/>
          <w:b/>
          <w:color w:val="auto"/>
          <w:szCs w:val="24"/>
        </w:rPr>
        <w:t xml:space="preserve">8     </w:t>
      </w:r>
      <w:r>
        <w:rPr>
          <w:rFonts w:hint="eastAsia" w:ascii="Times New Roman" w:hAnsi="Times New Roman" w:cs="Times New Roman"/>
          <w:b/>
          <w:color w:val="auto"/>
          <w:szCs w:val="24"/>
        </w:rPr>
        <w:t>监测期间运行工况</w:t>
      </w:r>
    </w:p>
    <w:tbl>
      <w:tblPr>
        <w:tblStyle w:val="86"/>
        <w:tblW w:w="888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6"/>
        <w:gridCol w:w="1271"/>
        <w:gridCol w:w="1326"/>
        <w:gridCol w:w="1276"/>
        <w:gridCol w:w="1418"/>
        <w:gridCol w:w="19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06" w:type="dxa"/>
          </w:tcPr>
          <w:p>
            <w:pPr>
              <w:spacing w:line="300" w:lineRule="exact"/>
              <w:ind w:right="101" w:rightChars="48"/>
              <w:jc w:val="center"/>
              <w:rPr>
                <w:rFonts w:eastAsiaTheme="minorEastAsia"/>
                <w:color w:val="auto"/>
                <w:szCs w:val="21"/>
              </w:rPr>
            </w:pPr>
            <w:bookmarkStart w:id="58" w:name="_Hlk8289211"/>
            <w:r>
              <w:rPr>
                <w:rFonts w:eastAsiaTheme="minorEastAsia"/>
                <w:color w:val="auto"/>
                <w:szCs w:val="21"/>
              </w:rPr>
              <w:t>变电站</w:t>
            </w:r>
          </w:p>
        </w:tc>
        <w:tc>
          <w:tcPr>
            <w:tcW w:w="1271" w:type="dxa"/>
          </w:tcPr>
          <w:p>
            <w:pPr>
              <w:spacing w:line="300" w:lineRule="exact"/>
              <w:ind w:right="101" w:rightChars="48"/>
              <w:jc w:val="center"/>
              <w:rPr>
                <w:rFonts w:eastAsiaTheme="minorEastAsia"/>
                <w:color w:val="auto"/>
                <w:szCs w:val="21"/>
              </w:rPr>
            </w:pPr>
            <w:r>
              <w:rPr>
                <w:rFonts w:eastAsiaTheme="minorEastAsia"/>
                <w:color w:val="auto"/>
                <w:szCs w:val="21"/>
              </w:rPr>
              <w:t>名称</w:t>
            </w:r>
          </w:p>
        </w:tc>
        <w:tc>
          <w:tcPr>
            <w:tcW w:w="1326" w:type="dxa"/>
          </w:tcPr>
          <w:p>
            <w:pPr>
              <w:spacing w:line="300" w:lineRule="exact"/>
              <w:ind w:right="101" w:rightChars="48"/>
              <w:jc w:val="center"/>
              <w:rPr>
                <w:rFonts w:eastAsiaTheme="minorEastAsia"/>
                <w:color w:val="auto"/>
                <w:szCs w:val="21"/>
              </w:rPr>
            </w:pPr>
            <w:r>
              <w:rPr>
                <w:rFonts w:eastAsiaTheme="minorEastAsia"/>
                <w:color w:val="auto"/>
                <w:szCs w:val="21"/>
              </w:rPr>
              <w:t>电流（A）</w:t>
            </w:r>
          </w:p>
        </w:tc>
        <w:tc>
          <w:tcPr>
            <w:tcW w:w="1276" w:type="dxa"/>
          </w:tcPr>
          <w:p>
            <w:pPr>
              <w:spacing w:line="300" w:lineRule="exact"/>
              <w:ind w:right="101" w:rightChars="48"/>
              <w:jc w:val="center"/>
              <w:rPr>
                <w:rFonts w:eastAsiaTheme="minorEastAsia"/>
                <w:color w:val="auto"/>
                <w:szCs w:val="21"/>
              </w:rPr>
            </w:pPr>
            <w:r>
              <w:rPr>
                <w:rFonts w:eastAsiaTheme="minorEastAsia"/>
                <w:color w:val="auto"/>
                <w:szCs w:val="21"/>
              </w:rPr>
              <w:t>电压（kV）</w:t>
            </w:r>
          </w:p>
        </w:tc>
        <w:tc>
          <w:tcPr>
            <w:tcW w:w="1418" w:type="dxa"/>
          </w:tcPr>
          <w:p>
            <w:pPr>
              <w:spacing w:line="300" w:lineRule="exact"/>
              <w:ind w:right="101" w:rightChars="48"/>
              <w:jc w:val="center"/>
              <w:rPr>
                <w:rFonts w:eastAsiaTheme="minorEastAsia"/>
                <w:color w:val="auto"/>
                <w:szCs w:val="21"/>
              </w:rPr>
            </w:pPr>
            <w:r>
              <w:rPr>
                <w:rFonts w:eastAsiaTheme="minorEastAsia"/>
                <w:color w:val="auto"/>
                <w:szCs w:val="21"/>
              </w:rPr>
              <w:t>有功P(MW)</w:t>
            </w:r>
          </w:p>
        </w:tc>
        <w:tc>
          <w:tcPr>
            <w:tcW w:w="1984" w:type="dxa"/>
          </w:tcPr>
          <w:p>
            <w:pPr>
              <w:spacing w:line="300" w:lineRule="exact"/>
              <w:ind w:right="101" w:rightChars="48"/>
              <w:jc w:val="center"/>
              <w:rPr>
                <w:rFonts w:eastAsiaTheme="minorEastAsia"/>
                <w:color w:val="auto"/>
                <w:szCs w:val="21"/>
              </w:rPr>
            </w:pPr>
            <w:r>
              <w:rPr>
                <w:rFonts w:eastAsiaTheme="minorEastAsia"/>
                <w:color w:val="auto"/>
                <w:szCs w:val="21"/>
              </w:rPr>
              <w:t>无功Q(Mvar)</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1606" w:type="dxa"/>
            <w:vMerge w:val="restart"/>
            <w:vAlign w:val="center"/>
          </w:tcPr>
          <w:p>
            <w:pPr>
              <w:ind w:right="101" w:rightChars="48"/>
              <w:jc w:val="center"/>
              <w:rPr>
                <w:rFonts w:eastAsiaTheme="minorEastAsia"/>
                <w:bCs/>
                <w:color w:val="auto"/>
                <w:szCs w:val="21"/>
              </w:rPr>
            </w:pPr>
            <w:r>
              <w:rPr>
                <w:rFonts w:hint="eastAsia" w:eastAsiaTheme="minorEastAsia"/>
                <w:color w:val="auto"/>
                <w:kern w:val="0"/>
                <w:szCs w:val="21"/>
              </w:rPr>
              <w:t>梅溪湖</w:t>
            </w:r>
            <w:r>
              <w:rPr>
                <w:rFonts w:eastAsiaTheme="minorEastAsia"/>
                <w:color w:val="auto"/>
                <w:kern w:val="0"/>
                <w:szCs w:val="21"/>
              </w:rPr>
              <w:t>110kV</w:t>
            </w:r>
            <w:r>
              <w:rPr>
                <w:rFonts w:hint="eastAsia" w:eastAsiaTheme="minorEastAsia"/>
                <w:color w:val="auto"/>
                <w:kern w:val="0"/>
                <w:szCs w:val="21"/>
              </w:rPr>
              <w:t>变电站</w:t>
            </w:r>
          </w:p>
        </w:tc>
        <w:tc>
          <w:tcPr>
            <w:tcW w:w="1271" w:type="dxa"/>
            <w:vAlign w:val="center"/>
          </w:tcPr>
          <w:p>
            <w:pPr>
              <w:jc w:val="center"/>
              <w:rPr>
                <w:rFonts w:eastAsiaTheme="minorEastAsia"/>
                <w:bCs/>
                <w:color w:val="auto"/>
                <w:szCs w:val="21"/>
              </w:rPr>
            </w:pPr>
            <w:r>
              <w:rPr>
                <w:rFonts w:hint="eastAsia" w:eastAsiaTheme="minorEastAsia"/>
                <w:color w:val="auto"/>
                <w:szCs w:val="21"/>
              </w:rPr>
              <w:t>＃</w:t>
            </w:r>
            <w:r>
              <w:rPr>
                <w:rFonts w:eastAsiaTheme="minorEastAsia"/>
                <w:color w:val="auto"/>
                <w:szCs w:val="21"/>
              </w:rPr>
              <w:t>1</w:t>
            </w:r>
            <w:r>
              <w:rPr>
                <w:rFonts w:hint="eastAsia" w:eastAsiaTheme="minorEastAsia"/>
                <w:color w:val="auto"/>
                <w:szCs w:val="21"/>
              </w:rPr>
              <w:t>主变</w:t>
            </w:r>
          </w:p>
        </w:tc>
        <w:tc>
          <w:tcPr>
            <w:tcW w:w="1326" w:type="dxa"/>
            <w:vAlign w:val="center"/>
          </w:tcPr>
          <w:p>
            <w:pPr>
              <w:jc w:val="center"/>
              <w:rPr>
                <w:rFonts w:eastAsiaTheme="minorEastAsia"/>
                <w:color w:val="auto"/>
                <w:szCs w:val="21"/>
              </w:rPr>
            </w:pPr>
            <w:r>
              <w:rPr>
                <w:rFonts w:eastAsiaTheme="minorEastAsia"/>
                <w:color w:val="auto"/>
                <w:szCs w:val="21"/>
              </w:rPr>
              <w:t>139.2</w:t>
            </w:r>
          </w:p>
        </w:tc>
        <w:tc>
          <w:tcPr>
            <w:tcW w:w="1276" w:type="dxa"/>
            <w:vAlign w:val="center"/>
          </w:tcPr>
          <w:p>
            <w:pPr>
              <w:jc w:val="center"/>
              <w:rPr>
                <w:rFonts w:eastAsiaTheme="minorEastAsia"/>
                <w:color w:val="auto"/>
                <w:szCs w:val="21"/>
              </w:rPr>
            </w:pPr>
            <w:r>
              <w:rPr>
                <w:rFonts w:eastAsiaTheme="minorEastAsia"/>
                <w:color w:val="auto"/>
                <w:szCs w:val="21"/>
              </w:rPr>
              <w:t>110</w:t>
            </w:r>
          </w:p>
        </w:tc>
        <w:tc>
          <w:tcPr>
            <w:tcW w:w="1418" w:type="dxa"/>
            <w:vAlign w:val="center"/>
          </w:tcPr>
          <w:p>
            <w:pPr>
              <w:jc w:val="center"/>
              <w:rPr>
                <w:rFonts w:eastAsiaTheme="minorEastAsia"/>
                <w:bCs/>
                <w:color w:val="auto"/>
                <w:szCs w:val="21"/>
              </w:rPr>
            </w:pPr>
            <w:r>
              <w:rPr>
                <w:rFonts w:eastAsiaTheme="minorEastAsia"/>
                <w:color w:val="auto"/>
                <w:szCs w:val="21"/>
              </w:rPr>
              <w:t>26</w:t>
            </w:r>
          </w:p>
        </w:tc>
        <w:tc>
          <w:tcPr>
            <w:tcW w:w="1984" w:type="dxa"/>
            <w:vAlign w:val="center"/>
          </w:tcPr>
          <w:p>
            <w:pPr>
              <w:jc w:val="center"/>
              <w:rPr>
                <w:rFonts w:eastAsiaTheme="minorEastAsia"/>
                <w:bCs/>
                <w:color w:val="auto"/>
                <w:szCs w:val="21"/>
              </w:rPr>
            </w:pPr>
            <w:r>
              <w:rPr>
                <w:rFonts w:eastAsiaTheme="minorEastAsia"/>
                <w:color w:val="auto"/>
                <w:szCs w:val="21"/>
              </w:rPr>
              <w:t>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1606" w:type="dxa"/>
            <w:vMerge w:val="continue"/>
            <w:vAlign w:val="center"/>
          </w:tcPr>
          <w:p>
            <w:pPr>
              <w:ind w:right="101" w:rightChars="48"/>
              <w:jc w:val="center"/>
              <w:rPr>
                <w:rFonts w:eastAsiaTheme="minorEastAsia"/>
                <w:color w:val="auto"/>
                <w:szCs w:val="21"/>
              </w:rPr>
            </w:pPr>
          </w:p>
        </w:tc>
        <w:tc>
          <w:tcPr>
            <w:tcW w:w="1271" w:type="dxa"/>
            <w:vAlign w:val="center"/>
          </w:tcPr>
          <w:p>
            <w:pPr>
              <w:spacing w:line="300" w:lineRule="exact"/>
              <w:jc w:val="center"/>
              <w:rPr>
                <w:rFonts w:eastAsiaTheme="minorEastAsia"/>
                <w:color w:val="auto"/>
                <w:szCs w:val="21"/>
              </w:rPr>
            </w:pPr>
            <w:r>
              <w:rPr>
                <w:rFonts w:hint="eastAsia" w:eastAsiaTheme="minorEastAsia"/>
                <w:color w:val="auto"/>
                <w:szCs w:val="21"/>
              </w:rPr>
              <w:t>＃</w:t>
            </w:r>
            <w:r>
              <w:rPr>
                <w:rFonts w:eastAsiaTheme="minorEastAsia"/>
                <w:color w:val="auto"/>
                <w:szCs w:val="21"/>
              </w:rPr>
              <w:t>2</w:t>
            </w:r>
            <w:r>
              <w:rPr>
                <w:rFonts w:hint="eastAsia" w:eastAsiaTheme="minorEastAsia"/>
                <w:color w:val="auto"/>
                <w:szCs w:val="21"/>
              </w:rPr>
              <w:t>主变</w:t>
            </w:r>
          </w:p>
        </w:tc>
        <w:tc>
          <w:tcPr>
            <w:tcW w:w="1326" w:type="dxa"/>
            <w:vAlign w:val="center"/>
          </w:tcPr>
          <w:p>
            <w:pPr>
              <w:spacing w:beforeLines="20" w:afterLines="20" w:line="300" w:lineRule="exact"/>
              <w:jc w:val="center"/>
              <w:rPr>
                <w:rFonts w:eastAsiaTheme="minorEastAsia"/>
                <w:color w:val="auto"/>
                <w:szCs w:val="21"/>
              </w:rPr>
            </w:pPr>
            <w:r>
              <w:rPr>
                <w:rFonts w:eastAsiaTheme="minorEastAsia"/>
                <w:color w:val="auto"/>
                <w:szCs w:val="21"/>
              </w:rPr>
              <w:t>101.7</w:t>
            </w:r>
          </w:p>
        </w:tc>
        <w:tc>
          <w:tcPr>
            <w:tcW w:w="1276" w:type="dxa"/>
            <w:vAlign w:val="center"/>
          </w:tcPr>
          <w:p>
            <w:pPr>
              <w:spacing w:beforeLines="20" w:afterLines="20" w:line="300" w:lineRule="exact"/>
              <w:jc w:val="center"/>
              <w:rPr>
                <w:rFonts w:eastAsiaTheme="minorEastAsia"/>
                <w:color w:val="auto"/>
                <w:szCs w:val="21"/>
              </w:rPr>
            </w:pPr>
            <w:r>
              <w:rPr>
                <w:rFonts w:eastAsiaTheme="minorEastAsia"/>
                <w:color w:val="auto"/>
                <w:szCs w:val="21"/>
              </w:rPr>
              <w:t>110</w:t>
            </w:r>
          </w:p>
        </w:tc>
        <w:tc>
          <w:tcPr>
            <w:tcW w:w="1418" w:type="dxa"/>
            <w:vAlign w:val="center"/>
          </w:tcPr>
          <w:p>
            <w:pPr>
              <w:spacing w:beforeLines="20" w:afterLines="20" w:line="300" w:lineRule="exact"/>
              <w:jc w:val="center"/>
              <w:rPr>
                <w:rFonts w:eastAsiaTheme="minorEastAsia"/>
                <w:color w:val="auto"/>
                <w:szCs w:val="21"/>
              </w:rPr>
            </w:pPr>
            <w:r>
              <w:rPr>
                <w:rFonts w:eastAsiaTheme="minorEastAsia"/>
                <w:color w:val="auto"/>
                <w:szCs w:val="21"/>
              </w:rPr>
              <w:t>19</w:t>
            </w:r>
          </w:p>
        </w:tc>
        <w:tc>
          <w:tcPr>
            <w:tcW w:w="1984" w:type="dxa"/>
            <w:vAlign w:val="center"/>
          </w:tcPr>
          <w:p>
            <w:pPr>
              <w:spacing w:beforeLines="20" w:afterLines="20" w:line="300" w:lineRule="exact"/>
              <w:jc w:val="center"/>
              <w:rPr>
                <w:rFonts w:eastAsiaTheme="minorEastAsia"/>
                <w:color w:val="auto"/>
                <w:szCs w:val="21"/>
              </w:rPr>
            </w:pPr>
            <w:r>
              <w:rPr>
                <w:rFonts w:eastAsiaTheme="minorEastAsia"/>
                <w:color w:val="auto"/>
                <w:szCs w:val="21"/>
              </w:rPr>
              <w:t>3.8</w:t>
            </w:r>
          </w:p>
        </w:tc>
      </w:tr>
      <w:bookmarkEnd w:id="58"/>
    </w:tbl>
    <w:p>
      <w:pPr>
        <w:spacing w:line="360" w:lineRule="auto"/>
        <w:ind w:firstLine="480"/>
        <w:rPr>
          <w:rFonts w:eastAsiaTheme="minorEastAsia"/>
          <w:color w:val="auto"/>
          <w:sz w:val="24"/>
        </w:rPr>
      </w:pPr>
      <w:r>
        <w:rPr>
          <w:rFonts w:hint="eastAsia" w:eastAsiaTheme="minorEastAsia"/>
          <w:color w:val="auto"/>
          <w:sz w:val="24"/>
        </w:rPr>
        <w:t>（</w:t>
      </w:r>
      <w:r>
        <w:rPr>
          <w:rFonts w:eastAsiaTheme="minorEastAsia"/>
          <w:color w:val="auto"/>
          <w:sz w:val="24"/>
        </w:rPr>
        <w:t>7</w:t>
      </w:r>
      <w:r>
        <w:rPr>
          <w:rFonts w:hint="eastAsia" w:eastAsiaTheme="minorEastAsia"/>
          <w:color w:val="auto"/>
          <w:sz w:val="24"/>
        </w:rPr>
        <w:t>）监测布点</w:t>
      </w:r>
    </w:p>
    <w:p>
      <w:pPr>
        <w:spacing w:line="360" w:lineRule="auto"/>
        <w:ind w:firstLine="480"/>
        <w:rPr>
          <w:rFonts w:eastAsiaTheme="minorEastAsia"/>
          <w:color w:val="auto"/>
          <w:sz w:val="24"/>
        </w:rPr>
      </w:pPr>
      <w:r>
        <w:rPr>
          <w:rFonts w:hint="eastAsia" w:eastAsiaTheme="minorEastAsia"/>
          <w:color w:val="auto"/>
          <w:sz w:val="24"/>
        </w:rPr>
        <w:t>变电站厂界：在变电站四周围墙外</w:t>
      </w:r>
      <w:r>
        <w:rPr>
          <w:rFonts w:eastAsiaTheme="minorEastAsia"/>
          <w:color w:val="auto"/>
          <w:sz w:val="24"/>
        </w:rPr>
        <w:t>5m</w:t>
      </w:r>
      <w:r>
        <w:rPr>
          <w:rFonts w:hint="eastAsia" w:eastAsiaTheme="minorEastAsia"/>
          <w:color w:val="auto"/>
          <w:sz w:val="24"/>
        </w:rPr>
        <w:t>各布设</w:t>
      </w:r>
      <w:r>
        <w:rPr>
          <w:rFonts w:eastAsiaTheme="minorEastAsia"/>
          <w:color w:val="auto"/>
          <w:sz w:val="24"/>
        </w:rPr>
        <w:t>1</w:t>
      </w:r>
      <w:r>
        <w:rPr>
          <w:rFonts w:hint="eastAsia" w:eastAsiaTheme="minorEastAsia"/>
          <w:color w:val="auto"/>
          <w:sz w:val="24"/>
        </w:rPr>
        <w:t>个测点、变电站西北侧围墙内</w:t>
      </w:r>
      <w:r>
        <w:rPr>
          <w:rFonts w:eastAsiaTheme="minorEastAsia"/>
          <w:color w:val="auto"/>
          <w:sz w:val="24"/>
        </w:rPr>
        <w:t>1.5m</w:t>
      </w:r>
      <w:r>
        <w:rPr>
          <w:rFonts w:hint="eastAsia" w:eastAsiaTheme="minorEastAsia"/>
          <w:color w:val="auto"/>
          <w:sz w:val="24"/>
        </w:rPr>
        <w:t>及围墙外</w:t>
      </w:r>
      <w:r>
        <w:rPr>
          <w:rFonts w:eastAsiaTheme="minorEastAsia"/>
          <w:color w:val="auto"/>
          <w:sz w:val="24"/>
        </w:rPr>
        <w:t>5m</w:t>
      </w:r>
      <w:r>
        <w:rPr>
          <w:rFonts w:hint="eastAsia" w:eastAsiaTheme="minorEastAsia"/>
          <w:color w:val="auto"/>
          <w:sz w:val="24"/>
        </w:rPr>
        <w:t>、</w:t>
      </w:r>
      <w:r>
        <w:rPr>
          <w:rFonts w:eastAsiaTheme="minorEastAsia"/>
          <w:color w:val="auto"/>
          <w:sz w:val="24"/>
        </w:rPr>
        <w:t>10m</w:t>
      </w:r>
      <w:r>
        <w:rPr>
          <w:rFonts w:hint="eastAsia" w:eastAsiaTheme="minorEastAsia"/>
          <w:color w:val="auto"/>
          <w:sz w:val="24"/>
        </w:rPr>
        <w:t>、</w:t>
      </w:r>
      <w:r>
        <w:rPr>
          <w:rFonts w:eastAsiaTheme="minorEastAsia"/>
          <w:color w:val="auto"/>
          <w:sz w:val="24"/>
        </w:rPr>
        <w:t>15m</w:t>
      </w:r>
      <w:r>
        <w:rPr>
          <w:rFonts w:hint="eastAsia" w:eastAsiaTheme="minorEastAsia"/>
          <w:color w:val="auto"/>
          <w:sz w:val="24"/>
        </w:rPr>
        <w:t>、</w:t>
      </w:r>
      <w:r>
        <w:rPr>
          <w:rFonts w:eastAsiaTheme="minorEastAsia"/>
          <w:color w:val="auto"/>
          <w:sz w:val="24"/>
        </w:rPr>
        <w:t>20m</w:t>
      </w:r>
      <w:r>
        <w:rPr>
          <w:rFonts w:hint="eastAsia" w:eastAsiaTheme="minorEastAsia"/>
          <w:color w:val="auto"/>
          <w:sz w:val="24"/>
        </w:rPr>
        <w:t>、</w:t>
      </w:r>
      <w:r>
        <w:rPr>
          <w:rFonts w:eastAsiaTheme="minorEastAsia"/>
          <w:color w:val="auto"/>
          <w:sz w:val="24"/>
        </w:rPr>
        <w:t>25m</w:t>
      </w:r>
      <w:r>
        <w:rPr>
          <w:rFonts w:hint="eastAsia" w:eastAsiaTheme="minorEastAsia"/>
          <w:color w:val="auto"/>
          <w:sz w:val="24"/>
        </w:rPr>
        <w:t>、</w:t>
      </w:r>
      <w:r>
        <w:rPr>
          <w:rFonts w:eastAsiaTheme="minorEastAsia"/>
          <w:color w:val="auto"/>
          <w:sz w:val="24"/>
        </w:rPr>
        <w:t>30m</w:t>
      </w:r>
      <w:r>
        <w:rPr>
          <w:rFonts w:hint="eastAsia" w:eastAsiaTheme="minorEastAsia"/>
          <w:color w:val="auto"/>
          <w:sz w:val="24"/>
        </w:rPr>
        <w:t>、</w:t>
      </w:r>
      <w:r>
        <w:rPr>
          <w:rFonts w:eastAsiaTheme="minorEastAsia"/>
          <w:color w:val="auto"/>
          <w:sz w:val="24"/>
        </w:rPr>
        <w:t>35m</w:t>
      </w:r>
      <w:r>
        <w:rPr>
          <w:rFonts w:hint="eastAsia" w:eastAsiaTheme="minorEastAsia"/>
          <w:color w:val="auto"/>
          <w:sz w:val="24"/>
        </w:rPr>
        <w:t>、</w:t>
      </w:r>
      <w:r>
        <w:rPr>
          <w:rFonts w:eastAsiaTheme="minorEastAsia"/>
          <w:color w:val="auto"/>
          <w:sz w:val="24"/>
        </w:rPr>
        <w:t>40m</w:t>
      </w:r>
      <w:r>
        <w:rPr>
          <w:rFonts w:hint="eastAsia" w:eastAsiaTheme="minorEastAsia"/>
          <w:color w:val="auto"/>
          <w:sz w:val="24"/>
        </w:rPr>
        <w:t>、</w:t>
      </w:r>
      <w:r>
        <w:rPr>
          <w:rFonts w:eastAsiaTheme="minorEastAsia"/>
          <w:color w:val="auto"/>
          <w:sz w:val="24"/>
        </w:rPr>
        <w:t>45m</w:t>
      </w:r>
      <w:r>
        <w:rPr>
          <w:rFonts w:hint="eastAsia" w:eastAsiaTheme="minorEastAsia"/>
          <w:color w:val="auto"/>
          <w:sz w:val="24"/>
        </w:rPr>
        <w:t>、</w:t>
      </w:r>
      <w:r>
        <w:rPr>
          <w:rFonts w:eastAsiaTheme="minorEastAsia"/>
          <w:color w:val="auto"/>
          <w:sz w:val="24"/>
        </w:rPr>
        <w:t>50m</w:t>
      </w:r>
      <w:r>
        <w:rPr>
          <w:rFonts w:hint="eastAsia" w:eastAsiaTheme="minorEastAsia"/>
          <w:color w:val="auto"/>
          <w:sz w:val="24"/>
        </w:rPr>
        <w:t>各布</w:t>
      </w:r>
      <w:r>
        <w:rPr>
          <w:rFonts w:eastAsiaTheme="minorEastAsia"/>
          <w:color w:val="auto"/>
          <w:sz w:val="24"/>
        </w:rPr>
        <w:t>1</w:t>
      </w:r>
      <w:r>
        <w:rPr>
          <w:rFonts w:hint="eastAsia" w:eastAsiaTheme="minorEastAsia"/>
          <w:color w:val="auto"/>
          <w:sz w:val="24"/>
        </w:rPr>
        <w:t>个监测点，各测点布置距离地面</w:t>
      </w:r>
      <w:r>
        <w:rPr>
          <w:rFonts w:eastAsiaTheme="minorEastAsia"/>
          <w:color w:val="auto"/>
          <w:sz w:val="24"/>
        </w:rPr>
        <w:t>1.5m</w:t>
      </w:r>
      <w:r>
        <w:rPr>
          <w:rFonts w:hint="eastAsia" w:eastAsiaTheme="minorEastAsia"/>
          <w:color w:val="auto"/>
          <w:sz w:val="24"/>
        </w:rPr>
        <w:t>高度处。</w:t>
      </w:r>
    </w:p>
    <w:p>
      <w:pPr>
        <w:spacing w:line="360" w:lineRule="auto"/>
        <w:ind w:firstLine="480"/>
        <w:rPr>
          <w:rFonts w:eastAsiaTheme="minorEastAsia"/>
          <w:color w:val="auto"/>
          <w:sz w:val="24"/>
        </w:rPr>
      </w:pPr>
      <w:r>
        <w:rPr>
          <w:rFonts w:hint="eastAsia" w:eastAsiaTheme="minorEastAsia"/>
          <w:color w:val="auto"/>
          <w:sz w:val="24"/>
        </w:rPr>
        <w:t>（</w:t>
      </w:r>
      <w:r>
        <w:rPr>
          <w:rFonts w:eastAsiaTheme="minorEastAsia"/>
          <w:color w:val="auto"/>
          <w:sz w:val="24"/>
        </w:rPr>
        <w:t>8</w:t>
      </w:r>
      <w:r>
        <w:rPr>
          <w:rFonts w:hint="eastAsia" w:eastAsiaTheme="minorEastAsia"/>
          <w:color w:val="auto"/>
          <w:sz w:val="24"/>
        </w:rPr>
        <w:t>）监测结果</w:t>
      </w:r>
    </w:p>
    <w:p>
      <w:pPr>
        <w:spacing w:line="360" w:lineRule="auto"/>
        <w:ind w:firstLine="480"/>
        <w:rPr>
          <w:rFonts w:eastAsiaTheme="minorEastAsia"/>
          <w:color w:val="auto"/>
          <w:sz w:val="24"/>
        </w:rPr>
      </w:pPr>
      <w:r>
        <w:rPr>
          <w:rFonts w:hint="eastAsia" w:eastAsiaTheme="minorEastAsia"/>
          <w:color w:val="auto"/>
          <w:sz w:val="24"/>
        </w:rPr>
        <w:t>变电站类比监测结果见表</w:t>
      </w:r>
      <w:r>
        <w:rPr>
          <w:rFonts w:eastAsiaTheme="minorEastAsia"/>
          <w:color w:val="auto"/>
          <w:sz w:val="24"/>
        </w:rPr>
        <w:t>9</w:t>
      </w:r>
      <w:r>
        <w:rPr>
          <w:rFonts w:hint="eastAsia" w:eastAsiaTheme="minorEastAsia"/>
          <w:color w:val="auto"/>
          <w:sz w:val="24"/>
        </w:rPr>
        <w:t>。</w:t>
      </w:r>
    </w:p>
    <w:p>
      <w:pPr>
        <w:pStyle w:val="23"/>
        <w:keepNext/>
        <w:spacing w:before="0" w:after="0"/>
        <w:ind w:firstLine="482"/>
        <w:jc w:val="center"/>
        <w:rPr>
          <w:rFonts w:ascii="Times New Roman" w:hAnsi="Times New Roman" w:cs="Times New Roman"/>
          <w:b/>
          <w:color w:val="auto"/>
          <w:szCs w:val="24"/>
        </w:rPr>
      </w:pPr>
      <w:bookmarkStart w:id="59" w:name="_Ref16775036"/>
      <w:r>
        <w:rPr>
          <w:rFonts w:hint="eastAsia" w:ascii="Times New Roman" w:hAnsi="Times New Roman" w:cs="Times New Roman"/>
          <w:b/>
          <w:color w:val="auto"/>
          <w:szCs w:val="24"/>
        </w:rPr>
        <w:t>表</w:t>
      </w:r>
      <w:r>
        <w:rPr>
          <w:rFonts w:ascii="Times New Roman" w:hAnsi="Times New Roman" w:cs="Times New Roman"/>
          <w:b/>
          <w:color w:val="auto"/>
          <w:szCs w:val="24"/>
        </w:rPr>
        <w:t xml:space="preserve"> </w:t>
      </w:r>
      <w:bookmarkEnd w:id="59"/>
      <w:r>
        <w:rPr>
          <w:rFonts w:ascii="Times New Roman" w:hAnsi="Times New Roman" w:cs="Times New Roman"/>
          <w:b/>
          <w:color w:val="auto"/>
          <w:szCs w:val="24"/>
        </w:rPr>
        <w:t xml:space="preserve">9    </w:t>
      </w:r>
      <w:r>
        <w:rPr>
          <w:rFonts w:hint="eastAsia" w:ascii="Times New Roman" w:hAnsi="Times New Roman" w:cs="Times New Roman"/>
          <w:b/>
          <w:color w:val="auto"/>
          <w:szCs w:val="24"/>
        </w:rPr>
        <w:t>梅溪湖</w:t>
      </w:r>
      <w:r>
        <w:rPr>
          <w:rFonts w:ascii="Times New Roman" w:hAnsi="Times New Roman" w:cs="Times New Roman"/>
          <w:b/>
          <w:color w:val="auto"/>
          <w:szCs w:val="24"/>
        </w:rPr>
        <w:t>110kV</w:t>
      </w:r>
      <w:r>
        <w:rPr>
          <w:rFonts w:hint="eastAsia" w:ascii="Times New Roman" w:hAnsi="Times New Roman" w:cs="Times New Roman"/>
          <w:b/>
          <w:color w:val="auto"/>
          <w:szCs w:val="24"/>
        </w:rPr>
        <w:t>变电站厂界电磁环境监测结果</w:t>
      </w:r>
    </w:p>
    <w:tbl>
      <w:tblPr>
        <w:tblStyle w:val="86"/>
        <w:tblW w:w="8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0"/>
        <w:gridCol w:w="2226"/>
        <w:gridCol w:w="2183"/>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 w:hRule="atLeast"/>
          <w:jc w:val="center"/>
        </w:trPr>
        <w:tc>
          <w:tcPr>
            <w:tcW w:w="2450" w:type="dxa"/>
            <w:tcBorders>
              <w:top w:val="single" w:color="auto" w:sz="12" w:space="0"/>
              <w:left w:val="single" w:color="auto" w:sz="12" w:space="0"/>
              <w:bottom w:val="single" w:color="auto" w:sz="2" w:space="0"/>
              <w:right w:val="single" w:color="auto" w:sz="2" w:space="0"/>
            </w:tcBorders>
            <w:vAlign w:val="center"/>
          </w:tcPr>
          <w:p>
            <w:pPr>
              <w:spacing w:line="300" w:lineRule="exact"/>
              <w:ind w:right="-6"/>
              <w:jc w:val="center"/>
              <w:rPr>
                <w:rFonts w:eastAsiaTheme="minorEastAsia"/>
                <w:color w:val="auto"/>
                <w:szCs w:val="21"/>
              </w:rPr>
            </w:pPr>
            <w:r>
              <w:rPr>
                <w:rFonts w:eastAsiaTheme="minorEastAsia"/>
                <w:color w:val="auto"/>
                <w:szCs w:val="21"/>
              </w:rPr>
              <w:t>测点</w:t>
            </w:r>
          </w:p>
        </w:tc>
        <w:tc>
          <w:tcPr>
            <w:tcW w:w="2226" w:type="dxa"/>
            <w:tcBorders>
              <w:top w:val="single" w:color="auto" w:sz="12" w:space="0"/>
              <w:left w:val="single" w:color="auto" w:sz="2" w:space="0"/>
              <w:bottom w:val="single" w:color="auto" w:sz="2" w:space="0"/>
              <w:right w:val="single" w:color="auto" w:sz="4" w:space="0"/>
            </w:tcBorders>
            <w:vAlign w:val="center"/>
          </w:tcPr>
          <w:p>
            <w:pPr>
              <w:spacing w:line="300" w:lineRule="exact"/>
              <w:ind w:right="-6"/>
              <w:jc w:val="center"/>
              <w:rPr>
                <w:rFonts w:eastAsiaTheme="minorEastAsia"/>
                <w:color w:val="auto"/>
                <w:szCs w:val="21"/>
              </w:rPr>
            </w:pPr>
            <w:r>
              <w:rPr>
                <w:rFonts w:eastAsiaTheme="minorEastAsia"/>
                <w:color w:val="auto"/>
                <w:szCs w:val="21"/>
              </w:rPr>
              <w:t>工频电场(V/m)</w:t>
            </w:r>
          </w:p>
        </w:tc>
        <w:tc>
          <w:tcPr>
            <w:tcW w:w="2183" w:type="dxa"/>
            <w:tcBorders>
              <w:top w:val="single" w:color="auto" w:sz="12" w:space="0"/>
              <w:left w:val="single" w:color="auto" w:sz="4" w:space="0"/>
              <w:bottom w:val="single" w:color="auto" w:sz="2" w:space="0"/>
              <w:right w:val="single" w:color="auto" w:sz="4" w:space="0"/>
            </w:tcBorders>
            <w:vAlign w:val="center"/>
          </w:tcPr>
          <w:p>
            <w:pPr>
              <w:spacing w:line="300" w:lineRule="exact"/>
              <w:ind w:right="-6"/>
              <w:jc w:val="left"/>
              <w:rPr>
                <w:rFonts w:eastAsiaTheme="minorEastAsia"/>
                <w:color w:val="auto"/>
                <w:szCs w:val="21"/>
              </w:rPr>
            </w:pPr>
            <w:r>
              <w:rPr>
                <w:rFonts w:eastAsiaTheme="minorEastAsia"/>
                <w:color w:val="auto"/>
                <w:szCs w:val="21"/>
              </w:rPr>
              <w:t>工频磁场(μT)</w:t>
            </w:r>
          </w:p>
        </w:tc>
        <w:tc>
          <w:tcPr>
            <w:tcW w:w="1728" w:type="dxa"/>
            <w:tcBorders>
              <w:top w:val="single" w:color="auto" w:sz="12" w:space="0"/>
              <w:left w:val="single" w:color="auto" w:sz="4" w:space="0"/>
              <w:bottom w:val="single" w:color="auto" w:sz="2" w:space="0"/>
              <w:right w:val="single" w:color="auto" w:sz="12" w:space="0"/>
            </w:tcBorders>
            <w:vAlign w:val="center"/>
          </w:tcPr>
          <w:p>
            <w:pPr>
              <w:spacing w:line="300" w:lineRule="exact"/>
              <w:jc w:val="center"/>
              <w:rPr>
                <w:rFonts w:eastAsiaTheme="minorEastAsia"/>
                <w:color w:val="auto"/>
                <w:kern w:val="0"/>
                <w:szCs w:val="21"/>
              </w:rPr>
            </w:pPr>
            <w:r>
              <w:rPr>
                <w:rFonts w:eastAsiaTheme="minorEastAsia"/>
                <w:color w:val="auto"/>
                <w:kern w:val="0"/>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 w:hRule="atLeast"/>
          <w:jc w:val="center"/>
        </w:trPr>
        <w:tc>
          <w:tcPr>
            <w:tcW w:w="2450" w:type="dxa"/>
            <w:tcBorders>
              <w:top w:val="single" w:color="auto" w:sz="2" w:space="0"/>
              <w:left w:val="single" w:color="auto" w:sz="12" w:space="0"/>
              <w:bottom w:val="single" w:color="auto" w:sz="2" w:space="0"/>
              <w:right w:val="single" w:color="auto" w:sz="2" w:space="0"/>
            </w:tcBorders>
            <w:vAlign w:val="center"/>
          </w:tcPr>
          <w:p>
            <w:pPr>
              <w:ind w:right="-6"/>
              <w:jc w:val="center"/>
              <w:rPr>
                <w:rFonts w:eastAsiaTheme="majorEastAsia"/>
                <w:color w:val="auto"/>
                <w:szCs w:val="21"/>
              </w:rPr>
            </w:pPr>
            <w:r>
              <w:rPr>
                <w:rFonts w:eastAsiaTheme="majorEastAsia"/>
                <w:color w:val="auto"/>
                <w:szCs w:val="21"/>
              </w:rPr>
              <w:t>综合楼西北侧</w:t>
            </w:r>
          </w:p>
        </w:tc>
        <w:tc>
          <w:tcPr>
            <w:tcW w:w="2226" w:type="dxa"/>
            <w:tcBorders>
              <w:top w:val="single" w:color="auto" w:sz="2" w:space="0"/>
              <w:left w:val="single" w:color="auto" w:sz="2" w:space="0"/>
              <w:bottom w:val="single" w:color="auto" w:sz="2" w:space="0"/>
              <w:right w:val="single" w:color="auto" w:sz="4" w:space="0"/>
            </w:tcBorders>
            <w:vAlign w:val="center"/>
          </w:tcPr>
          <w:p>
            <w:pPr>
              <w:ind w:right="-3"/>
              <w:jc w:val="center"/>
              <w:rPr>
                <w:rFonts w:eastAsiaTheme="minorEastAsia"/>
                <w:color w:val="auto"/>
                <w:szCs w:val="21"/>
              </w:rPr>
            </w:pPr>
            <w:r>
              <w:rPr>
                <w:rFonts w:eastAsiaTheme="minorEastAsia"/>
                <w:color w:val="auto"/>
                <w:szCs w:val="21"/>
              </w:rPr>
              <w:t>17.9</w:t>
            </w:r>
          </w:p>
        </w:tc>
        <w:tc>
          <w:tcPr>
            <w:tcW w:w="2183" w:type="dxa"/>
            <w:tcBorders>
              <w:top w:val="single" w:color="auto" w:sz="2" w:space="0"/>
              <w:left w:val="single" w:color="auto" w:sz="4" w:space="0"/>
              <w:bottom w:val="single" w:color="auto" w:sz="2" w:space="0"/>
              <w:right w:val="single" w:color="auto" w:sz="4" w:space="0"/>
            </w:tcBorders>
            <w:vAlign w:val="center"/>
          </w:tcPr>
          <w:p>
            <w:pPr>
              <w:ind w:right="-3"/>
              <w:jc w:val="center"/>
              <w:rPr>
                <w:rFonts w:eastAsiaTheme="minorEastAsia"/>
                <w:color w:val="auto"/>
                <w:szCs w:val="21"/>
              </w:rPr>
            </w:pPr>
            <w:r>
              <w:rPr>
                <w:rFonts w:eastAsiaTheme="minorEastAsia"/>
                <w:color w:val="auto"/>
                <w:szCs w:val="21"/>
              </w:rPr>
              <w:t>0.033</w:t>
            </w:r>
          </w:p>
        </w:tc>
        <w:tc>
          <w:tcPr>
            <w:tcW w:w="1728" w:type="dxa"/>
            <w:tcBorders>
              <w:top w:val="single" w:color="auto" w:sz="2" w:space="0"/>
              <w:left w:val="single" w:color="auto" w:sz="4" w:space="0"/>
              <w:bottom w:val="single" w:color="auto" w:sz="2" w:space="0"/>
              <w:right w:val="single" w:color="auto" w:sz="12" w:space="0"/>
            </w:tcBorders>
            <w:vAlign w:val="center"/>
          </w:tcPr>
          <w:p>
            <w:pPr>
              <w:spacing w:line="300" w:lineRule="exact"/>
              <w:jc w:val="center"/>
              <w:rPr>
                <w:rFonts w:eastAsiaTheme="minorEastAsia"/>
                <w:color w:val="auto"/>
                <w:kern w:val="0"/>
                <w:szCs w:val="21"/>
              </w:rPr>
            </w:pPr>
            <w:r>
              <w:rPr>
                <w:rFonts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 w:hRule="atLeast"/>
          <w:jc w:val="center"/>
        </w:trPr>
        <w:tc>
          <w:tcPr>
            <w:tcW w:w="2450" w:type="dxa"/>
            <w:tcBorders>
              <w:top w:val="single" w:color="auto" w:sz="2" w:space="0"/>
              <w:left w:val="single" w:color="auto" w:sz="12" w:space="0"/>
              <w:bottom w:val="single" w:color="auto" w:sz="2" w:space="0"/>
              <w:right w:val="single" w:color="auto" w:sz="2" w:space="0"/>
            </w:tcBorders>
            <w:vAlign w:val="center"/>
          </w:tcPr>
          <w:p>
            <w:pPr>
              <w:ind w:right="-6"/>
              <w:jc w:val="center"/>
              <w:rPr>
                <w:rFonts w:eastAsiaTheme="majorEastAsia"/>
                <w:color w:val="auto"/>
                <w:szCs w:val="21"/>
              </w:rPr>
            </w:pPr>
            <w:r>
              <w:rPr>
                <w:rFonts w:eastAsiaTheme="majorEastAsia"/>
                <w:color w:val="auto"/>
                <w:szCs w:val="21"/>
              </w:rPr>
              <w:t>综合楼东南侧</w:t>
            </w:r>
          </w:p>
        </w:tc>
        <w:tc>
          <w:tcPr>
            <w:tcW w:w="2226" w:type="dxa"/>
            <w:tcBorders>
              <w:top w:val="single" w:color="auto" w:sz="2" w:space="0"/>
              <w:left w:val="single" w:color="auto" w:sz="2" w:space="0"/>
              <w:bottom w:val="single" w:color="auto" w:sz="2" w:space="0"/>
              <w:right w:val="single" w:color="auto" w:sz="4" w:space="0"/>
            </w:tcBorders>
            <w:vAlign w:val="center"/>
          </w:tcPr>
          <w:p>
            <w:pPr>
              <w:ind w:right="-3"/>
              <w:jc w:val="center"/>
              <w:rPr>
                <w:rFonts w:eastAsiaTheme="minorEastAsia"/>
                <w:color w:val="auto"/>
                <w:szCs w:val="21"/>
              </w:rPr>
            </w:pPr>
            <w:r>
              <w:rPr>
                <w:rFonts w:eastAsiaTheme="minorEastAsia"/>
                <w:color w:val="auto"/>
                <w:szCs w:val="21"/>
              </w:rPr>
              <w:t>15.7</w:t>
            </w:r>
          </w:p>
        </w:tc>
        <w:tc>
          <w:tcPr>
            <w:tcW w:w="2183" w:type="dxa"/>
            <w:tcBorders>
              <w:top w:val="single" w:color="auto" w:sz="2" w:space="0"/>
              <w:left w:val="single" w:color="auto" w:sz="4" w:space="0"/>
              <w:bottom w:val="single" w:color="auto" w:sz="2" w:space="0"/>
              <w:right w:val="single" w:color="auto" w:sz="4" w:space="0"/>
            </w:tcBorders>
            <w:vAlign w:val="center"/>
          </w:tcPr>
          <w:p>
            <w:pPr>
              <w:ind w:right="-3"/>
              <w:jc w:val="center"/>
              <w:rPr>
                <w:rFonts w:eastAsiaTheme="minorEastAsia"/>
                <w:color w:val="auto"/>
                <w:szCs w:val="21"/>
              </w:rPr>
            </w:pPr>
            <w:r>
              <w:rPr>
                <w:rFonts w:eastAsiaTheme="minorEastAsia"/>
                <w:color w:val="auto"/>
                <w:szCs w:val="21"/>
              </w:rPr>
              <w:t>0.011</w:t>
            </w:r>
          </w:p>
        </w:tc>
        <w:tc>
          <w:tcPr>
            <w:tcW w:w="1728" w:type="dxa"/>
            <w:tcBorders>
              <w:top w:val="single" w:color="auto" w:sz="2" w:space="0"/>
              <w:left w:val="single" w:color="auto" w:sz="4" w:space="0"/>
              <w:bottom w:val="single" w:color="auto" w:sz="2" w:space="0"/>
              <w:right w:val="single" w:color="auto" w:sz="12" w:space="0"/>
            </w:tcBorders>
            <w:vAlign w:val="center"/>
          </w:tcPr>
          <w:p>
            <w:pPr>
              <w:spacing w:line="300" w:lineRule="exact"/>
              <w:jc w:val="center"/>
              <w:rPr>
                <w:rFonts w:eastAsiaTheme="minorEastAsia"/>
                <w:color w:val="auto"/>
                <w:kern w:val="0"/>
                <w:szCs w:val="21"/>
              </w:rPr>
            </w:pPr>
            <w:r>
              <w:rPr>
                <w:rFonts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 w:hRule="atLeast"/>
          <w:jc w:val="center"/>
        </w:trPr>
        <w:tc>
          <w:tcPr>
            <w:tcW w:w="2450" w:type="dxa"/>
            <w:tcBorders>
              <w:top w:val="single" w:color="auto" w:sz="2" w:space="0"/>
              <w:left w:val="single" w:color="auto" w:sz="12" w:space="0"/>
              <w:bottom w:val="single" w:color="auto" w:sz="2" w:space="0"/>
              <w:right w:val="single" w:color="auto" w:sz="2" w:space="0"/>
            </w:tcBorders>
            <w:vAlign w:val="center"/>
          </w:tcPr>
          <w:p>
            <w:pPr>
              <w:ind w:right="-6"/>
              <w:jc w:val="center"/>
              <w:rPr>
                <w:rFonts w:eastAsiaTheme="majorEastAsia"/>
                <w:color w:val="auto"/>
                <w:szCs w:val="21"/>
              </w:rPr>
            </w:pPr>
            <w:r>
              <w:rPr>
                <w:rFonts w:eastAsiaTheme="majorEastAsia"/>
                <w:color w:val="auto"/>
                <w:szCs w:val="21"/>
              </w:rPr>
              <w:t>综合楼西南侧</w:t>
            </w:r>
          </w:p>
        </w:tc>
        <w:tc>
          <w:tcPr>
            <w:tcW w:w="2226" w:type="dxa"/>
            <w:tcBorders>
              <w:top w:val="single" w:color="auto" w:sz="2" w:space="0"/>
              <w:left w:val="single" w:color="auto" w:sz="2" w:space="0"/>
              <w:bottom w:val="single" w:color="auto" w:sz="2" w:space="0"/>
              <w:right w:val="single" w:color="auto" w:sz="4" w:space="0"/>
            </w:tcBorders>
            <w:vAlign w:val="center"/>
          </w:tcPr>
          <w:p>
            <w:pPr>
              <w:ind w:right="-3"/>
              <w:jc w:val="center"/>
              <w:rPr>
                <w:rFonts w:eastAsiaTheme="minorEastAsia"/>
                <w:color w:val="auto"/>
                <w:szCs w:val="21"/>
              </w:rPr>
            </w:pPr>
            <w:r>
              <w:rPr>
                <w:rFonts w:eastAsiaTheme="minorEastAsia"/>
                <w:color w:val="auto"/>
                <w:szCs w:val="21"/>
              </w:rPr>
              <w:t>12.2</w:t>
            </w:r>
          </w:p>
        </w:tc>
        <w:tc>
          <w:tcPr>
            <w:tcW w:w="2183" w:type="dxa"/>
            <w:tcBorders>
              <w:top w:val="single" w:color="auto" w:sz="2" w:space="0"/>
              <w:left w:val="single" w:color="auto" w:sz="4" w:space="0"/>
              <w:bottom w:val="single" w:color="auto" w:sz="2" w:space="0"/>
              <w:right w:val="single" w:color="auto" w:sz="4" w:space="0"/>
            </w:tcBorders>
            <w:vAlign w:val="center"/>
          </w:tcPr>
          <w:p>
            <w:pPr>
              <w:ind w:right="-3"/>
              <w:jc w:val="center"/>
              <w:rPr>
                <w:rFonts w:eastAsiaTheme="minorEastAsia"/>
                <w:color w:val="auto"/>
                <w:szCs w:val="21"/>
              </w:rPr>
            </w:pPr>
            <w:r>
              <w:rPr>
                <w:rFonts w:eastAsiaTheme="minorEastAsia"/>
                <w:color w:val="auto"/>
                <w:szCs w:val="21"/>
              </w:rPr>
              <w:t>0.012</w:t>
            </w:r>
          </w:p>
        </w:tc>
        <w:tc>
          <w:tcPr>
            <w:tcW w:w="1728" w:type="dxa"/>
            <w:tcBorders>
              <w:top w:val="single" w:color="auto" w:sz="2" w:space="0"/>
              <w:left w:val="single" w:color="auto" w:sz="4" w:space="0"/>
              <w:bottom w:val="single" w:color="auto" w:sz="2" w:space="0"/>
              <w:right w:val="single" w:color="auto" w:sz="12" w:space="0"/>
            </w:tcBorders>
            <w:vAlign w:val="center"/>
          </w:tcPr>
          <w:p>
            <w:pPr>
              <w:spacing w:line="300" w:lineRule="exact"/>
              <w:jc w:val="center"/>
              <w:rPr>
                <w:rFonts w:eastAsiaTheme="minorEastAsia"/>
                <w:color w:val="auto"/>
                <w:kern w:val="0"/>
                <w:szCs w:val="21"/>
              </w:rPr>
            </w:pPr>
            <w:r>
              <w:rPr>
                <w:rFonts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 w:hRule="atLeast"/>
          <w:jc w:val="center"/>
        </w:trPr>
        <w:tc>
          <w:tcPr>
            <w:tcW w:w="2450" w:type="dxa"/>
            <w:tcBorders>
              <w:top w:val="single" w:color="auto" w:sz="2" w:space="0"/>
              <w:left w:val="single" w:color="auto" w:sz="12" w:space="0"/>
              <w:bottom w:val="single" w:color="auto" w:sz="2" w:space="0"/>
              <w:right w:val="single" w:color="auto" w:sz="2" w:space="0"/>
            </w:tcBorders>
            <w:vAlign w:val="center"/>
          </w:tcPr>
          <w:p>
            <w:pPr>
              <w:ind w:right="-6"/>
              <w:jc w:val="center"/>
              <w:rPr>
                <w:rFonts w:eastAsiaTheme="majorEastAsia"/>
                <w:color w:val="auto"/>
                <w:szCs w:val="21"/>
              </w:rPr>
            </w:pPr>
            <w:r>
              <w:rPr>
                <w:rFonts w:eastAsiaTheme="majorEastAsia"/>
                <w:color w:val="auto"/>
                <w:szCs w:val="21"/>
              </w:rPr>
              <w:t>综合楼东北侧</w:t>
            </w:r>
          </w:p>
        </w:tc>
        <w:tc>
          <w:tcPr>
            <w:tcW w:w="2226" w:type="dxa"/>
            <w:tcBorders>
              <w:top w:val="single" w:color="auto" w:sz="2" w:space="0"/>
              <w:left w:val="single" w:color="auto" w:sz="2" w:space="0"/>
              <w:bottom w:val="single" w:color="auto" w:sz="2" w:space="0"/>
              <w:right w:val="single" w:color="auto" w:sz="4" w:space="0"/>
            </w:tcBorders>
            <w:vAlign w:val="center"/>
          </w:tcPr>
          <w:p>
            <w:pPr>
              <w:ind w:right="-3"/>
              <w:jc w:val="center"/>
              <w:rPr>
                <w:rFonts w:eastAsiaTheme="minorEastAsia"/>
                <w:color w:val="auto"/>
                <w:szCs w:val="21"/>
              </w:rPr>
            </w:pPr>
            <w:r>
              <w:rPr>
                <w:rFonts w:eastAsiaTheme="minorEastAsia"/>
                <w:color w:val="auto"/>
                <w:szCs w:val="21"/>
              </w:rPr>
              <w:t>14.9</w:t>
            </w:r>
          </w:p>
        </w:tc>
        <w:tc>
          <w:tcPr>
            <w:tcW w:w="2183" w:type="dxa"/>
            <w:tcBorders>
              <w:top w:val="single" w:color="auto" w:sz="2" w:space="0"/>
              <w:left w:val="single" w:color="auto" w:sz="4" w:space="0"/>
              <w:bottom w:val="single" w:color="auto" w:sz="2" w:space="0"/>
              <w:right w:val="single" w:color="auto" w:sz="4" w:space="0"/>
            </w:tcBorders>
            <w:vAlign w:val="center"/>
          </w:tcPr>
          <w:p>
            <w:pPr>
              <w:ind w:right="-3"/>
              <w:jc w:val="center"/>
              <w:rPr>
                <w:rFonts w:eastAsiaTheme="minorEastAsia"/>
                <w:color w:val="auto"/>
                <w:szCs w:val="21"/>
              </w:rPr>
            </w:pPr>
            <w:r>
              <w:rPr>
                <w:rFonts w:eastAsiaTheme="minorEastAsia"/>
                <w:color w:val="auto"/>
                <w:szCs w:val="21"/>
              </w:rPr>
              <w:t>0.018</w:t>
            </w:r>
          </w:p>
        </w:tc>
        <w:tc>
          <w:tcPr>
            <w:tcW w:w="1728" w:type="dxa"/>
            <w:tcBorders>
              <w:top w:val="single" w:color="auto" w:sz="2" w:space="0"/>
              <w:left w:val="single" w:color="auto" w:sz="4" w:space="0"/>
              <w:bottom w:val="single" w:color="auto" w:sz="2" w:space="0"/>
              <w:right w:val="single" w:color="auto" w:sz="12" w:space="0"/>
            </w:tcBorders>
            <w:vAlign w:val="center"/>
          </w:tcPr>
          <w:p>
            <w:pPr>
              <w:spacing w:line="300" w:lineRule="exact"/>
              <w:jc w:val="center"/>
              <w:rPr>
                <w:rFonts w:eastAsiaTheme="minorEastAsia"/>
                <w:color w:val="auto"/>
                <w:kern w:val="0"/>
                <w:szCs w:val="21"/>
              </w:rPr>
            </w:pPr>
            <w:r>
              <w:rPr>
                <w:rFonts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 w:hRule="atLeast"/>
          <w:jc w:val="center"/>
        </w:trPr>
        <w:tc>
          <w:tcPr>
            <w:tcW w:w="2450" w:type="dxa"/>
            <w:tcBorders>
              <w:top w:val="single" w:color="auto" w:sz="2" w:space="0"/>
              <w:left w:val="single" w:color="auto" w:sz="12" w:space="0"/>
              <w:bottom w:val="single" w:color="auto" w:sz="2" w:space="0"/>
              <w:right w:val="single" w:color="auto" w:sz="2" w:space="0"/>
            </w:tcBorders>
            <w:vAlign w:val="center"/>
          </w:tcPr>
          <w:p>
            <w:pPr>
              <w:ind w:right="-6"/>
              <w:jc w:val="center"/>
              <w:rPr>
                <w:rFonts w:eastAsiaTheme="majorEastAsia"/>
                <w:color w:val="auto"/>
                <w:szCs w:val="21"/>
              </w:rPr>
            </w:pPr>
            <w:r>
              <w:rPr>
                <w:rFonts w:eastAsiaTheme="majorEastAsia"/>
                <w:color w:val="auto"/>
                <w:szCs w:val="21"/>
              </w:rPr>
              <w:t>站内距西北围墙1.5m</w:t>
            </w:r>
          </w:p>
        </w:tc>
        <w:tc>
          <w:tcPr>
            <w:tcW w:w="2226" w:type="dxa"/>
            <w:tcBorders>
              <w:top w:val="single" w:color="auto" w:sz="2" w:space="0"/>
              <w:left w:val="single" w:color="auto" w:sz="2" w:space="0"/>
              <w:bottom w:val="single" w:color="auto" w:sz="2" w:space="0"/>
              <w:right w:val="single" w:color="auto" w:sz="4" w:space="0"/>
            </w:tcBorders>
            <w:vAlign w:val="center"/>
          </w:tcPr>
          <w:p>
            <w:pPr>
              <w:ind w:right="-3"/>
              <w:jc w:val="center"/>
              <w:rPr>
                <w:rFonts w:eastAsiaTheme="minorEastAsia"/>
                <w:color w:val="auto"/>
                <w:szCs w:val="21"/>
              </w:rPr>
            </w:pPr>
            <w:r>
              <w:rPr>
                <w:rFonts w:eastAsiaTheme="minorEastAsia"/>
                <w:color w:val="auto"/>
                <w:szCs w:val="21"/>
              </w:rPr>
              <w:t>15.8</w:t>
            </w:r>
          </w:p>
        </w:tc>
        <w:tc>
          <w:tcPr>
            <w:tcW w:w="2183" w:type="dxa"/>
            <w:tcBorders>
              <w:top w:val="single" w:color="auto" w:sz="2" w:space="0"/>
              <w:left w:val="single" w:color="auto" w:sz="4" w:space="0"/>
              <w:bottom w:val="single" w:color="auto" w:sz="2" w:space="0"/>
              <w:right w:val="single" w:color="auto" w:sz="4" w:space="0"/>
            </w:tcBorders>
            <w:vAlign w:val="center"/>
          </w:tcPr>
          <w:p>
            <w:pPr>
              <w:ind w:right="-3"/>
              <w:jc w:val="center"/>
              <w:rPr>
                <w:rFonts w:eastAsiaTheme="minorEastAsia"/>
                <w:color w:val="auto"/>
                <w:szCs w:val="21"/>
              </w:rPr>
            </w:pPr>
            <w:r>
              <w:rPr>
                <w:rFonts w:eastAsiaTheme="minorEastAsia"/>
                <w:color w:val="auto"/>
                <w:szCs w:val="21"/>
              </w:rPr>
              <w:t>0.027</w:t>
            </w:r>
          </w:p>
        </w:tc>
        <w:tc>
          <w:tcPr>
            <w:tcW w:w="1728" w:type="dxa"/>
            <w:tcBorders>
              <w:top w:val="single" w:color="auto" w:sz="2" w:space="0"/>
              <w:left w:val="single" w:color="auto" w:sz="4" w:space="0"/>
              <w:bottom w:val="single" w:color="auto" w:sz="2" w:space="0"/>
              <w:right w:val="single" w:color="auto" w:sz="12" w:space="0"/>
            </w:tcBorders>
            <w:vAlign w:val="center"/>
          </w:tcPr>
          <w:p>
            <w:pPr>
              <w:spacing w:line="300" w:lineRule="exact"/>
              <w:jc w:val="center"/>
              <w:rPr>
                <w:rFonts w:eastAsiaTheme="minorEastAsia"/>
                <w:color w:val="auto"/>
                <w:kern w:val="0"/>
                <w:szCs w:val="21"/>
              </w:rPr>
            </w:pPr>
            <w:r>
              <w:rPr>
                <w:rFonts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2450" w:type="dxa"/>
            <w:tcBorders>
              <w:top w:val="single" w:color="auto" w:sz="4" w:space="0"/>
              <w:left w:val="single" w:color="auto" w:sz="12" w:space="0"/>
              <w:bottom w:val="single" w:color="auto" w:sz="4" w:space="0"/>
              <w:right w:val="single" w:color="auto" w:sz="4" w:space="0"/>
            </w:tcBorders>
            <w:vAlign w:val="center"/>
          </w:tcPr>
          <w:p>
            <w:pPr>
              <w:ind w:right="-6"/>
              <w:jc w:val="center"/>
              <w:rPr>
                <w:rFonts w:eastAsiaTheme="majorEastAsia"/>
                <w:color w:val="auto"/>
                <w:szCs w:val="21"/>
              </w:rPr>
            </w:pPr>
            <w:r>
              <w:rPr>
                <w:rFonts w:eastAsiaTheme="majorEastAsia"/>
                <w:color w:val="auto"/>
                <w:szCs w:val="21"/>
              </w:rPr>
              <w:t>距西北侧围墙5m</w:t>
            </w:r>
          </w:p>
        </w:tc>
        <w:tc>
          <w:tcPr>
            <w:tcW w:w="2226"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12.7</w:t>
            </w:r>
          </w:p>
        </w:tc>
        <w:tc>
          <w:tcPr>
            <w:tcW w:w="2183"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0.016</w:t>
            </w:r>
          </w:p>
        </w:tc>
        <w:tc>
          <w:tcPr>
            <w:tcW w:w="1728" w:type="dxa"/>
            <w:tcBorders>
              <w:top w:val="single" w:color="auto" w:sz="4" w:space="0"/>
              <w:left w:val="single" w:color="auto" w:sz="4" w:space="0"/>
              <w:bottom w:val="single" w:color="auto" w:sz="4" w:space="0"/>
              <w:right w:val="single" w:color="auto" w:sz="12" w:space="0"/>
            </w:tcBorders>
            <w:vAlign w:val="center"/>
          </w:tcPr>
          <w:p>
            <w:pPr>
              <w:spacing w:beforeLines="8" w:afterLines="8" w:line="300" w:lineRule="exact"/>
              <w:jc w:val="center"/>
              <w:rPr>
                <w:rFonts w:eastAsiaTheme="minorEastAsia"/>
                <w:color w:val="auto"/>
                <w:kern w:val="0"/>
                <w:szCs w:val="21"/>
              </w:rPr>
            </w:pPr>
            <w:r>
              <w:rPr>
                <w:rFonts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jc w:val="center"/>
        </w:trPr>
        <w:tc>
          <w:tcPr>
            <w:tcW w:w="2450" w:type="dxa"/>
            <w:tcBorders>
              <w:top w:val="single" w:color="auto" w:sz="4" w:space="0"/>
              <w:left w:val="single" w:color="auto" w:sz="12" w:space="0"/>
              <w:bottom w:val="single" w:color="auto" w:sz="4" w:space="0"/>
              <w:right w:val="single" w:color="auto" w:sz="4" w:space="0"/>
            </w:tcBorders>
            <w:vAlign w:val="center"/>
          </w:tcPr>
          <w:p>
            <w:pPr>
              <w:ind w:right="-6"/>
              <w:jc w:val="center"/>
              <w:rPr>
                <w:rFonts w:eastAsiaTheme="majorEastAsia"/>
                <w:color w:val="auto"/>
                <w:szCs w:val="21"/>
              </w:rPr>
            </w:pPr>
            <w:r>
              <w:rPr>
                <w:rFonts w:eastAsiaTheme="majorEastAsia"/>
                <w:color w:val="auto"/>
                <w:szCs w:val="21"/>
              </w:rPr>
              <w:t>距西北侧围墙10m</w:t>
            </w:r>
          </w:p>
        </w:tc>
        <w:tc>
          <w:tcPr>
            <w:tcW w:w="2226"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8.3</w:t>
            </w:r>
          </w:p>
        </w:tc>
        <w:tc>
          <w:tcPr>
            <w:tcW w:w="2183"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0.011</w:t>
            </w:r>
          </w:p>
        </w:tc>
        <w:tc>
          <w:tcPr>
            <w:tcW w:w="1728" w:type="dxa"/>
            <w:tcBorders>
              <w:top w:val="single" w:color="auto" w:sz="4" w:space="0"/>
              <w:left w:val="single" w:color="auto" w:sz="4" w:space="0"/>
              <w:bottom w:val="single" w:color="auto" w:sz="4" w:space="0"/>
              <w:right w:val="single" w:color="auto" w:sz="12" w:space="0"/>
            </w:tcBorders>
            <w:vAlign w:val="center"/>
          </w:tcPr>
          <w:p>
            <w:pPr>
              <w:spacing w:beforeLines="8" w:afterLines="8" w:line="300" w:lineRule="exact"/>
              <w:jc w:val="center"/>
              <w:rPr>
                <w:rFonts w:eastAsiaTheme="minorEastAsia"/>
                <w:color w:val="auto"/>
                <w:kern w:val="0"/>
                <w:szCs w:val="21"/>
              </w:rPr>
            </w:pPr>
            <w:r>
              <w:rPr>
                <w:rFonts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 w:hRule="atLeast"/>
          <w:jc w:val="center"/>
        </w:trPr>
        <w:tc>
          <w:tcPr>
            <w:tcW w:w="2450" w:type="dxa"/>
            <w:tcBorders>
              <w:top w:val="single" w:color="auto" w:sz="4" w:space="0"/>
              <w:left w:val="single" w:color="auto" w:sz="12" w:space="0"/>
              <w:bottom w:val="single" w:color="auto" w:sz="4" w:space="0"/>
              <w:right w:val="single" w:color="auto" w:sz="4" w:space="0"/>
            </w:tcBorders>
            <w:vAlign w:val="center"/>
          </w:tcPr>
          <w:p>
            <w:pPr>
              <w:ind w:right="-6"/>
              <w:jc w:val="center"/>
              <w:rPr>
                <w:rFonts w:eastAsiaTheme="majorEastAsia"/>
                <w:color w:val="auto"/>
                <w:szCs w:val="21"/>
              </w:rPr>
            </w:pPr>
            <w:r>
              <w:rPr>
                <w:rFonts w:eastAsiaTheme="majorEastAsia"/>
                <w:color w:val="auto"/>
                <w:szCs w:val="21"/>
              </w:rPr>
              <w:t>距西北侧围墙15m</w:t>
            </w:r>
          </w:p>
        </w:tc>
        <w:tc>
          <w:tcPr>
            <w:tcW w:w="2226"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6.2</w:t>
            </w:r>
          </w:p>
        </w:tc>
        <w:tc>
          <w:tcPr>
            <w:tcW w:w="2183"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0.009</w:t>
            </w:r>
          </w:p>
        </w:tc>
        <w:tc>
          <w:tcPr>
            <w:tcW w:w="1728" w:type="dxa"/>
            <w:tcBorders>
              <w:top w:val="single" w:color="auto" w:sz="4" w:space="0"/>
              <w:left w:val="single" w:color="auto" w:sz="4" w:space="0"/>
              <w:bottom w:val="single" w:color="auto" w:sz="4" w:space="0"/>
              <w:right w:val="single" w:color="auto" w:sz="12" w:space="0"/>
            </w:tcBorders>
            <w:vAlign w:val="center"/>
          </w:tcPr>
          <w:p>
            <w:pPr>
              <w:spacing w:beforeLines="8" w:afterLines="8" w:line="300" w:lineRule="exact"/>
              <w:jc w:val="center"/>
              <w:rPr>
                <w:rFonts w:eastAsiaTheme="minorEastAsia"/>
                <w:color w:val="auto"/>
                <w:kern w:val="0"/>
                <w:szCs w:val="21"/>
              </w:rPr>
            </w:pPr>
            <w:r>
              <w:rPr>
                <w:rFonts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 w:hRule="atLeast"/>
          <w:jc w:val="center"/>
        </w:trPr>
        <w:tc>
          <w:tcPr>
            <w:tcW w:w="2450" w:type="dxa"/>
            <w:tcBorders>
              <w:top w:val="single" w:color="auto" w:sz="4" w:space="0"/>
              <w:left w:val="single" w:color="auto" w:sz="12" w:space="0"/>
              <w:bottom w:val="single" w:color="auto" w:sz="4" w:space="0"/>
              <w:right w:val="single" w:color="auto" w:sz="4" w:space="0"/>
            </w:tcBorders>
            <w:vAlign w:val="center"/>
          </w:tcPr>
          <w:p>
            <w:pPr>
              <w:ind w:right="-6"/>
              <w:jc w:val="center"/>
              <w:rPr>
                <w:rFonts w:eastAsiaTheme="majorEastAsia"/>
                <w:color w:val="auto"/>
                <w:szCs w:val="21"/>
              </w:rPr>
            </w:pPr>
            <w:r>
              <w:rPr>
                <w:rFonts w:eastAsiaTheme="majorEastAsia"/>
                <w:color w:val="auto"/>
                <w:szCs w:val="21"/>
              </w:rPr>
              <w:t>距西北侧围墙20m</w:t>
            </w:r>
          </w:p>
        </w:tc>
        <w:tc>
          <w:tcPr>
            <w:tcW w:w="2226"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5.8</w:t>
            </w:r>
          </w:p>
        </w:tc>
        <w:tc>
          <w:tcPr>
            <w:tcW w:w="2183"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0.008</w:t>
            </w:r>
          </w:p>
        </w:tc>
        <w:tc>
          <w:tcPr>
            <w:tcW w:w="1728" w:type="dxa"/>
            <w:tcBorders>
              <w:top w:val="single" w:color="auto" w:sz="4" w:space="0"/>
              <w:left w:val="single" w:color="auto" w:sz="4" w:space="0"/>
              <w:bottom w:val="single" w:color="auto" w:sz="4" w:space="0"/>
              <w:right w:val="single" w:color="auto" w:sz="12" w:space="0"/>
            </w:tcBorders>
            <w:vAlign w:val="center"/>
          </w:tcPr>
          <w:p>
            <w:pPr>
              <w:spacing w:beforeLines="8" w:afterLines="8" w:line="300" w:lineRule="exact"/>
              <w:jc w:val="center"/>
              <w:rPr>
                <w:rFonts w:eastAsiaTheme="minorEastAsia"/>
                <w:color w:val="auto"/>
                <w:kern w:val="0"/>
                <w:szCs w:val="21"/>
              </w:rPr>
            </w:pPr>
            <w:r>
              <w:rPr>
                <w:rFonts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 w:hRule="atLeast"/>
          <w:jc w:val="center"/>
        </w:trPr>
        <w:tc>
          <w:tcPr>
            <w:tcW w:w="2450" w:type="dxa"/>
            <w:tcBorders>
              <w:top w:val="single" w:color="auto" w:sz="4" w:space="0"/>
              <w:left w:val="single" w:color="auto" w:sz="12" w:space="0"/>
              <w:bottom w:val="single" w:color="auto" w:sz="4" w:space="0"/>
              <w:right w:val="single" w:color="auto" w:sz="4" w:space="0"/>
            </w:tcBorders>
            <w:vAlign w:val="center"/>
          </w:tcPr>
          <w:p>
            <w:pPr>
              <w:ind w:right="-6"/>
              <w:jc w:val="center"/>
              <w:rPr>
                <w:rFonts w:eastAsiaTheme="majorEastAsia"/>
                <w:color w:val="auto"/>
                <w:szCs w:val="21"/>
              </w:rPr>
            </w:pPr>
            <w:r>
              <w:rPr>
                <w:rFonts w:eastAsiaTheme="majorEastAsia"/>
                <w:color w:val="auto"/>
                <w:szCs w:val="21"/>
              </w:rPr>
              <w:t>距西北侧围墙25m</w:t>
            </w:r>
          </w:p>
        </w:tc>
        <w:tc>
          <w:tcPr>
            <w:tcW w:w="2226"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5.6</w:t>
            </w:r>
          </w:p>
        </w:tc>
        <w:tc>
          <w:tcPr>
            <w:tcW w:w="2183"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0.009</w:t>
            </w:r>
          </w:p>
        </w:tc>
        <w:tc>
          <w:tcPr>
            <w:tcW w:w="1728" w:type="dxa"/>
            <w:tcBorders>
              <w:top w:val="single" w:color="auto" w:sz="4" w:space="0"/>
              <w:left w:val="single" w:color="auto" w:sz="4" w:space="0"/>
              <w:bottom w:val="single" w:color="auto" w:sz="4" w:space="0"/>
              <w:right w:val="single" w:color="auto" w:sz="12" w:space="0"/>
            </w:tcBorders>
            <w:vAlign w:val="center"/>
          </w:tcPr>
          <w:p>
            <w:pPr>
              <w:spacing w:beforeLines="8" w:afterLines="8" w:line="300" w:lineRule="exact"/>
              <w:jc w:val="center"/>
              <w:rPr>
                <w:rFonts w:eastAsiaTheme="minorEastAsia"/>
                <w:color w:val="auto"/>
                <w:kern w:val="0"/>
                <w:szCs w:val="21"/>
              </w:rPr>
            </w:pPr>
            <w:r>
              <w:rPr>
                <w:rFonts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 w:hRule="atLeast"/>
          <w:jc w:val="center"/>
        </w:trPr>
        <w:tc>
          <w:tcPr>
            <w:tcW w:w="2450" w:type="dxa"/>
            <w:tcBorders>
              <w:top w:val="single" w:color="auto" w:sz="4" w:space="0"/>
              <w:left w:val="single" w:color="auto" w:sz="12" w:space="0"/>
              <w:bottom w:val="single" w:color="auto" w:sz="4" w:space="0"/>
              <w:right w:val="single" w:color="auto" w:sz="4" w:space="0"/>
            </w:tcBorders>
            <w:vAlign w:val="center"/>
          </w:tcPr>
          <w:p>
            <w:pPr>
              <w:ind w:right="-6"/>
              <w:jc w:val="center"/>
              <w:rPr>
                <w:rFonts w:eastAsiaTheme="majorEastAsia"/>
                <w:color w:val="auto"/>
                <w:szCs w:val="21"/>
              </w:rPr>
            </w:pPr>
            <w:r>
              <w:rPr>
                <w:rFonts w:eastAsiaTheme="majorEastAsia"/>
                <w:color w:val="auto"/>
                <w:szCs w:val="21"/>
              </w:rPr>
              <w:t>距西北侧围墙30m</w:t>
            </w:r>
          </w:p>
        </w:tc>
        <w:tc>
          <w:tcPr>
            <w:tcW w:w="2226"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5.1</w:t>
            </w:r>
          </w:p>
        </w:tc>
        <w:tc>
          <w:tcPr>
            <w:tcW w:w="2183"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0.009</w:t>
            </w:r>
          </w:p>
        </w:tc>
        <w:tc>
          <w:tcPr>
            <w:tcW w:w="1728" w:type="dxa"/>
            <w:tcBorders>
              <w:top w:val="single" w:color="auto" w:sz="4" w:space="0"/>
              <w:left w:val="single" w:color="auto" w:sz="4" w:space="0"/>
              <w:bottom w:val="single" w:color="auto" w:sz="4" w:space="0"/>
              <w:right w:val="single" w:color="auto" w:sz="12" w:space="0"/>
            </w:tcBorders>
            <w:vAlign w:val="center"/>
          </w:tcPr>
          <w:p>
            <w:pPr>
              <w:spacing w:beforeLines="8" w:afterLines="8" w:line="300" w:lineRule="exact"/>
              <w:jc w:val="center"/>
              <w:rPr>
                <w:rFonts w:eastAsiaTheme="minorEastAsia"/>
                <w:color w:val="auto"/>
                <w:kern w:val="0"/>
                <w:szCs w:val="21"/>
              </w:rPr>
            </w:pPr>
            <w:r>
              <w:rPr>
                <w:rFonts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 w:hRule="atLeast"/>
          <w:jc w:val="center"/>
        </w:trPr>
        <w:tc>
          <w:tcPr>
            <w:tcW w:w="2450" w:type="dxa"/>
            <w:tcBorders>
              <w:top w:val="single" w:color="auto" w:sz="4" w:space="0"/>
              <w:left w:val="single" w:color="auto" w:sz="12" w:space="0"/>
              <w:bottom w:val="single" w:color="auto" w:sz="4" w:space="0"/>
              <w:right w:val="single" w:color="auto" w:sz="4" w:space="0"/>
            </w:tcBorders>
            <w:vAlign w:val="center"/>
          </w:tcPr>
          <w:p>
            <w:pPr>
              <w:ind w:right="-6"/>
              <w:jc w:val="center"/>
              <w:rPr>
                <w:rFonts w:eastAsiaTheme="majorEastAsia"/>
                <w:color w:val="auto"/>
                <w:szCs w:val="21"/>
              </w:rPr>
            </w:pPr>
            <w:r>
              <w:rPr>
                <w:rFonts w:eastAsiaTheme="majorEastAsia"/>
                <w:color w:val="auto"/>
                <w:szCs w:val="21"/>
              </w:rPr>
              <w:t>距西北侧围墙35m</w:t>
            </w:r>
          </w:p>
        </w:tc>
        <w:tc>
          <w:tcPr>
            <w:tcW w:w="2226"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4.9</w:t>
            </w:r>
          </w:p>
        </w:tc>
        <w:tc>
          <w:tcPr>
            <w:tcW w:w="2183"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0.007</w:t>
            </w:r>
          </w:p>
        </w:tc>
        <w:tc>
          <w:tcPr>
            <w:tcW w:w="1728" w:type="dxa"/>
            <w:tcBorders>
              <w:top w:val="single" w:color="auto" w:sz="4" w:space="0"/>
              <w:left w:val="single" w:color="auto" w:sz="4" w:space="0"/>
              <w:bottom w:val="single" w:color="auto" w:sz="4" w:space="0"/>
              <w:right w:val="single" w:color="auto" w:sz="12" w:space="0"/>
            </w:tcBorders>
            <w:vAlign w:val="center"/>
          </w:tcPr>
          <w:p>
            <w:pPr>
              <w:spacing w:line="300" w:lineRule="exact"/>
              <w:jc w:val="center"/>
              <w:rPr>
                <w:rFonts w:eastAsiaTheme="minorEastAsia"/>
                <w:color w:val="auto"/>
                <w:kern w:val="0"/>
                <w:szCs w:val="21"/>
              </w:rPr>
            </w:pPr>
            <w:r>
              <w:rPr>
                <w:rFonts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 w:hRule="atLeast"/>
          <w:jc w:val="center"/>
        </w:trPr>
        <w:tc>
          <w:tcPr>
            <w:tcW w:w="2450" w:type="dxa"/>
            <w:tcBorders>
              <w:top w:val="single" w:color="auto" w:sz="4" w:space="0"/>
              <w:left w:val="single" w:color="auto" w:sz="12" w:space="0"/>
              <w:bottom w:val="single" w:color="auto" w:sz="4" w:space="0"/>
              <w:right w:val="single" w:color="auto" w:sz="4" w:space="0"/>
            </w:tcBorders>
            <w:vAlign w:val="center"/>
          </w:tcPr>
          <w:p>
            <w:pPr>
              <w:ind w:right="-6"/>
              <w:jc w:val="center"/>
              <w:rPr>
                <w:rFonts w:eastAsiaTheme="majorEastAsia"/>
                <w:color w:val="auto"/>
                <w:szCs w:val="21"/>
              </w:rPr>
            </w:pPr>
            <w:r>
              <w:rPr>
                <w:rFonts w:eastAsiaTheme="majorEastAsia"/>
                <w:color w:val="auto"/>
                <w:szCs w:val="21"/>
              </w:rPr>
              <w:t>距西北侧围墙40m</w:t>
            </w:r>
          </w:p>
        </w:tc>
        <w:tc>
          <w:tcPr>
            <w:tcW w:w="2226"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4.8</w:t>
            </w:r>
          </w:p>
        </w:tc>
        <w:tc>
          <w:tcPr>
            <w:tcW w:w="2183"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0.007</w:t>
            </w:r>
          </w:p>
        </w:tc>
        <w:tc>
          <w:tcPr>
            <w:tcW w:w="1728" w:type="dxa"/>
            <w:tcBorders>
              <w:top w:val="single" w:color="auto" w:sz="4" w:space="0"/>
              <w:left w:val="single" w:color="auto" w:sz="4" w:space="0"/>
              <w:bottom w:val="single" w:color="auto" w:sz="4" w:space="0"/>
              <w:right w:val="single" w:color="auto" w:sz="12" w:space="0"/>
            </w:tcBorders>
            <w:vAlign w:val="center"/>
          </w:tcPr>
          <w:p>
            <w:pPr>
              <w:spacing w:line="300" w:lineRule="exact"/>
              <w:jc w:val="center"/>
              <w:rPr>
                <w:rFonts w:eastAsiaTheme="minorEastAsia"/>
                <w:color w:val="auto"/>
                <w:kern w:val="0"/>
                <w:szCs w:val="21"/>
              </w:rPr>
            </w:pPr>
            <w:r>
              <w:rPr>
                <w:rFonts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 w:hRule="atLeast"/>
          <w:jc w:val="center"/>
        </w:trPr>
        <w:tc>
          <w:tcPr>
            <w:tcW w:w="2450" w:type="dxa"/>
            <w:tcBorders>
              <w:top w:val="single" w:color="auto" w:sz="4" w:space="0"/>
              <w:left w:val="single" w:color="auto" w:sz="12" w:space="0"/>
              <w:bottom w:val="single" w:color="auto" w:sz="4" w:space="0"/>
              <w:right w:val="single" w:color="auto" w:sz="4" w:space="0"/>
            </w:tcBorders>
            <w:vAlign w:val="center"/>
          </w:tcPr>
          <w:p>
            <w:pPr>
              <w:ind w:right="-6"/>
              <w:jc w:val="center"/>
              <w:rPr>
                <w:rFonts w:eastAsiaTheme="majorEastAsia"/>
                <w:color w:val="auto"/>
                <w:szCs w:val="21"/>
              </w:rPr>
            </w:pPr>
            <w:r>
              <w:rPr>
                <w:rFonts w:eastAsiaTheme="majorEastAsia"/>
                <w:color w:val="auto"/>
                <w:szCs w:val="21"/>
              </w:rPr>
              <w:t>距西北侧围墙45m</w:t>
            </w:r>
          </w:p>
        </w:tc>
        <w:tc>
          <w:tcPr>
            <w:tcW w:w="2226"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4.8</w:t>
            </w:r>
          </w:p>
        </w:tc>
        <w:tc>
          <w:tcPr>
            <w:tcW w:w="2183"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0.007</w:t>
            </w:r>
          </w:p>
        </w:tc>
        <w:tc>
          <w:tcPr>
            <w:tcW w:w="1728" w:type="dxa"/>
            <w:tcBorders>
              <w:top w:val="single" w:color="auto" w:sz="4" w:space="0"/>
              <w:left w:val="single" w:color="auto" w:sz="4" w:space="0"/>
              <w:bottom w:val="single" w:color="auto" w:sz="4" w:space="0"/>
              <w:right w:val="single" w:color="auto" w:sz="12" w:space="0"/>
            </w:tcBorders>
            <w:vAlign w:val="center"/>
          </w:tcPr>
          <w:p>
            <w:pPr>
              <w:spacing w:line="300" w:lineRule="exact"/>
              <w:jc w:val="center"/>
              <w:rPr>
                <w:rFonts w:eastAsiaTheme="minorEastAsia"/>
                <w:color w:val="auto"/>
                <w:kern w:val="0"/>
                <w:szCs w:val="21"/>
              </w:rPr>
            </w:pPr>
            <w:r>
              <w:rPr>
                <w:rFonts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2450" w:type="dxa"/>
            <w:tcBorders>
              <w:top w:val="single" w:color="auto" w:sz="4" w:space="0"/>
              <w:left w:val="single" w:color="auto" w:sz="12" w:space="0"/>
              <w:bottom w:val="single" w:color="auto" w:sz="4" w:space="0"/>
              <w:right w:val="single" w:color="auto" w:sz="4" w:space="0"/>
            </w:tcBorders>
            <w:vAlign w:val="center"/>
          </w:tcPr>
          <w:p>
            <w:pPr>
              <w:ind w:right="-6"/>
              <w:jc w:val="center"/>
              <w:rPr>
                <w:rFonts w:eastAsiaTheme="majorEastAsia"/>
                <w:color w:val="auto"/>
                <w:szCs w:val="21"/>
              </w:rPr>
            </w:pPr>
            <w:r>
              <w:rPr>
                <w:rFonts w:eastAsiaTheme="majorEastAsia"/>
                <w:color w:val="auto"/>
                <w:szCs w:val="21"/>
              </w:rPr>
              <w:t>距西北侧围墙50m</w:t>
            </w:r>
          </w:p>
        </w:tc>
        <w:tc>
          <w:tcPr>
            <w:tcW w:w="2226"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4.9</w:t>
            </w:r>
          </w:p>
        </w:tc>
        <w:tc>
          <w:tcPr>
            <w:tcW w:w="2183" w:type="dxa"/>
            <w:tcBorders>
              <w:top w:val="single" w:color="auto" w:sz="4" w:space="0"/>
              <w:left w:val="single" w:color="auto" w:sz="4" w:space="0"/>
              <w:bottom w:val="single" w:color="auto" w:sz="4" w:space="0"/>
              <w:right w:val="single" w:color="auto" w:sz="4" w:space="0"/>
            </w:tcBorders>
            <w:vAlign w:val="center"/>
          </w:tcPr>
          <w:p>
            <w:pPr>
              <w:ind w:right="-6"/>
              <w:jc w:val="center"/>
              <w:rPr>
                <w:rFonts w:eastAsiaTheme="minorEastAsia"/>
                <w:color w:val="auto"/>
                <w:szCs w:val="21"/>
              </w:rPr>
            </w:pPr>
            <w:r>
              <w:rPr>
                <w:rFonts w:eastAsiaTheme="minorEastAsia"/>
                <w:color w:val="auto"/>
                <w:szCs w:val="21"/>
              </w:rPr>
              <w:t>0.008</w:t>
            </w:r>
          </w:p>
        </w:tc>
        <w:tc>
          <w:tcPr>
            <w:tcW w:w="1728" w:type="dxa"/>
            <w:tcBorders>
              <w:top w:val="single" w:color="auto" w:sz="4" w:space="0"/>
              <w:left w:val="single" w:color="auto" w:sz="4" w:space="0"/>
              <w:bottom w:val="single" w:color="auto" w:sz="4" w:space="0"/>
              <w:right w:val="single" w:color="auto" w:sz="12" w:space="0"/>
            </w:tcBorders>
            <w:vAlign w:val="center"/>
          </w:tcPr>
          <w:p>
            <w:pPr>
              <w:spacing w:line="300" w:lineRule="exact"/>
              <w:jc w:val="center"/>
              <w:rPr>
                <w:rFonts w:eastAsiaTheme="minorEastAsia"/>
                <w:color w:val="auto"/>
                <w:kern w:val="0"/>
                <w:szCs w:val="21"/>
              </w:rPr>
            </w:pPr>
            <w:r>
              <w:rPr>
                <w:rFonts w:eastAsiaTheme="minorEastAsia"/>
                <w:color w:val="auto"/>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8587" w:type="dxa"/>
            <w:gridSpan w:val="4"/>
            <w:tcBorders>
              <w:top w:val="single" w:color="auto" w:sz="2" w:space="0"/>
              <w:left w:val="single" w:color="auto" w:sz="12" w:space="0"/>
              <w:bottom w:val="single" w:color="auto" w:sz="12" w:space="0"/>
              <w:right w:val="single" w:color="auto" w:sz="12" w:space="0"/>
            </w:tcBorders>
            <w:vAlign w:val="center"/>
          </w:tcPr>
          <w:p>
            <w:pPr>
              <w:ind w:right="-6"/>
              <w:jc w:val="center"/>
              <w:rPr>
                <w:rFonts w:eastAsiaTheme="minorEastAsia"/>
                <w:color w:val="auto"/>
                <w:szCs w:val="21"/>
              </w:rPr>
            </w:pPr>
            <w:r>
              <w:rPr>
                <w:rFonts w:eastAsiaTheme="minorEastAsia"/>
                <w:color w:val="auto"/>
                <w:szCs w:val="21"/>
              </w:rPr>
              <w:t>测试时间2019年4月9日，晴，温度14.7~19.7℃，相对湿度47.1%~52.9%。</w:t>
            </w:r>
          </w:p>
        </w:tc>
      </w:tr>
    </w:tbl>
    <w:p>
      <w:pPr>
        <w:spacing w:line="360" w:lineRule="auto"/>
        <w:ind w:firstLine="482"/>
        <w:rPr>
          <w:b/>
          <w:color w:val="auto"/>
          <w:sz w:val="24"/>
        </w:rPr>
      </w:pPr>
      <w:r>
        <w:rPr>
          <w:b/>
          <w:color w:val="auto"/>
          <w:sz w:val="24"/>
        </w:rPr>
        <w:t>3.1.5</w:t>
      </w:r>
      <w:r>
        <w:rPr>
          <w:rFonts w:hint="eastAsia"/>
          <w:b/>
          <w:color w:val="auto"/>
          <w:sz w:val="24"/>
        </w:rPr>
        <w:t>类比检测结果分析</w:t>
      </w:r>
    </w:p>
    <w:p>
      <w:pPr>
        <w:spacing w:line="360" w:lineRule="auto"/>
        <w:ind w:firstLine="482"/>
        <w:rPr>
          <w:rFonts w:eastAsiaTheme="minorEastAsia"/>
          <w:color w:val="auto"/>
          <w:sz w:val="24"/>
        </w:rPr>
      </w:pPr>
      <w:r>
        <w:rPr>
          <w:rFonts w:hint="eastAsia" w:eastAsiaTheme="minorEastAsia"/>
          <w:color w:val="auto"/>
          <w:sz w:val="24"/>
        </w:rPr>
        <w:t>由监测结果可知，在运的梅溪湖</w:t>
      </w:r>
      <w:r>
        <w:rPr>
          <w:rFonts w:eastAsiaTheme="minorEastAsia"/>
          <w:color w:val="auto"/>
          <w:sz w:val="24"/>
        </w:rPr>
        <w:t>110kV</w:t>
      </w:r>
      <w:r>
        <w:rPr>
          <w:rFonts w:hint="eastAsia" w:eastAsiaTheme="minorEastAsia"/>
          <w:color w:val="auto"/>
          <w:sz w:val="24"/>
        </w:rPr>
        <w:t>变电站厂界及围墙外</w:t>
      </w:r>
      <w:r>
        <w:rPr>
          <w:rFonts w:eastAsiaTheme="minorEastAsia"/>
          <w:color w:val="auto"/>
          <w:sz w:val="24"/>
        </w:rPr>
        <w:t>50m</w:t>
      </w:r>
      <w:r>
        <w:rPr>
          <w:rFonts w:hint="eastAsia" w:eastAsiaTheme="minorEastAsia"/>
          <w:color w:val="auto"/>
          <w:sz w:val="24"/>
        </w:rPr>
        <w:t>范围内工频电场强度为</w:t>
      </w:r>
      <w:r>
        <w:rPr>
          <w:rFonts w:eastAsiaTheme="minorEastAsia"/>
          <w:color w:val="auto"/>
          <w:sz w:val="24"/>
        </w:rPr>
        <w:t>4.8</w:t>
      </w:r>
      <w:r>
        <w:rPr>
          <w:rFonts w:hint="eastAsia" w:eastAsiaTheme="minorEastAsia"/>
          <w:color w:val="auto"/>
          <w:sz w:val="24"/>
        </w:rPr>
        <w:t>～</w:t>
      </w:r>
      <w:r>
        <w:rPr>
          <w:rFonts w:eastAsiaTheme="minorEastAsia"/>
          <w:color w:val="auto"/>
          <w:sz w:val="24"/>
        </w:rPr>
        <w:t>17.9V/m</w:t>
      </w:r>
      <w:r>
        <w:rPr>
          <w:rFonts w:hint="eastAsia" w:eastAsiaTheme="minorEastAsia"/>
          <w:color w:val="auto"/>
          <w:sz w:val="24"/>
        </w:rPr>
        <w:t>，均小于</w:t>
      </w:r>
      <w:r>
        <w:rPr>
          <w:rFonts w:eastAsiaTheme="minorEastAsia"/>
          <w:color w:val="auto"/>
          <w:sz w:val="24"/>
        </w:rPr>
        <w:t>4000V/m</w:t>
      </w:r>
      <w:r>
        <w:rPr>
          <w:rFonts w:hint="eastAsia" w:eastAsiaTheme="minorEastAsia"/>
          <w:color w:val="auto"/>
          <w:sz w:val="24"/>
        </w:rPr>
        <w:t>的标准限值；工频磁感应强度为</w:t>
      </w:r>
      <w:r>
        <w:rPr>
          <w:rFonts w:eastAsiaTheme="minorEastAsia"/>
          <w:color w:val="auto"/>
          <w:sz w:val="24"/>
        </w:rPr>
        <w:t>0.007</w:t>
      </w:r>
      <w:r>
        <w:rPr>
          <w:rFonts w:hint="eastAsia" w:eastAsiaTheme="minorEastAsia"/>
          <w:color w:val="auto"/>
          <w:sz w:val="24"/>
        </w:rPr>
        <w:t>～</w:t>
      </w:r>
      <w:r>
        <w:rPr>
          <w:rFonts w:eastAsiaTheme="minorEastAsia"/>
          <w:color w:val="auto"/>
          <w:sz w:val="24"/>
        </w:rPr>
        <w:t>0.033μT</w:t>
      </w:r>
      <w:r>
        <w:rPr>
          <w:rFonts w:hint="eastAsia" w:eastAsiaTheme="minorEastAsia"/>
          <w:color w:val="auto"/>
          <w:sz w:val="24"/>
        </w:rPr>
        <w:t>，均小于</w:t>
      </w:r>
      <w:r>
        <w:rPr>
          <w:rFonts w:eastAsiaTheme="minorEastAsia"/>
          <w:color w:val="auto"/>
          <w:sz w:val="24"/>
        </w:rPr>
        <w:t>100μT</w:t>
      </w:r>
      <w:r>
        <w:rPr>
          <w:rFonts w:hint="eastAsia" w:eastAsiaTheme="minorEastAsia"/>
          <w:color w:val="auto"/>
          <w:sz w:val="24"/>
        </w:rPr>
        <w:t>的标准限值。</w:t>
      </w:r>
    </w:p>
    <w:p>
      <w:pPr>
        <w:spacing w:line="360" w:lineRule="auto"/>
        <w:ind w:firstLine="482"/>
        <w:rPr>
          <w:rFonts w:eastAsiaTheme="minorEastAsia"/>
          <w:color w:val="auto"/>
          <w:sz w:val="24"/>
        </w:rPr>
      </w:pPr>
      <w:r>
        <w:rPr>
          <w:rFonts w:hint="eastAsia" w:eastAsiaTheme="minorEastAsia"/>
          <w:color w:val="auto"/>
          <w:sz w:val="24"/>
        </w:rPr>
        <w:t>根据类比可行性分析，梅溪湖</w:t>
      </w:r>
      <w:r>
        <w:rPr>
          <w:rFonts w:eastAsiaTheme="minorEastAsia"/>
          <w:color w:val="auto"/>
          <w:sz w:val="24"/>
        </w:rPr>
        <w:t>110kV</w:t>
      </w:r>
      <w:r>
        <w:rPr>
          <w:rFonts w:hint="eastAsia" w:eastAsiaTheme="minorEastAsia"/>
          <w:color w:val="auto"/>
          <w:sz w:val="24"/>
        </w:rPr>
        <w:t>变电站在运行期产生的工频电场、工频磁场能够反映城步儒林储能站终期规模运行时产生的工频电场、工频磁场水平。由类比监测结果可知，城步儒林储能站终期规模运行时产生的工频电场、工频磁场均能够满足相应的标准限值要求。</w:t>
      </w:r>
    </w:p>
    <w:p>
      <w:pPr>
        <w:spacing w:line="360" w:lineRule="auto"/>
        <w:ind w:firstLine="482"/>
        <w:rPr>
          <w:rFonts w:eastAsiaTheme="minorEastAsia"/>
          <w:color w:val="auto"/>
          <w:sz w:val="24"/>
          <w:u w:val="single"/>
        </w:rPr>
      </w:pPr>
      <w:r>
        <w:rPr>
          <w:rFonts w:hint="eastAsia" w:eastAsiaTheme="minorEastAsia"/>
          <w:color w:val="auto"/>
          <w:sz w:val="24"/>
          <w:u w:val="single"/>
        </w:rPr>
        <w:t>根据芙蓉</w:t>
      </w:r>
      <w:r>
        <w:rPr>
          <w:rFonts w:eastAsiaTheme="minorEastAsia"/>
          <w:color w:val="auto"/>
          <w:sz w:val="24"/>
          <w:u w:val="single"/>
        </w:rPr>
        <w:t>220kV</w:t>
      </w:r>
      <w:r>
        <w:rPr>
          <w:rFonts w:hint="eastAsia" w:eastAsiaTheme="minorEastAsia"/>
          <w:color w:val="auto"/>
          <w:sz w:val="24"/>
          <w:u w:val="single"/>
        </w:rPr>
        <w:t>变电站电磁环境检测报告（湖南湘电试验研究院有限公司，</w:t>
      </w:r>
      <w:r>
        <w:rPr>
          <w:rFonts w:eastAsiaTheme="minorEastAsia"/>
          <w:color w:val="auto"/>
          <w:sz w:val="24"/>
          <w:u w:val="single"/>
        </w:rPr>
        <w:t>JChh</w:t>
      </w:r>
      <w:r>
        <w:rPr>
          <w:rFonts w:hint="eastAsia" w:eastAsiaTheme="minorEastAsia"/>
          <w:color w:val="auto"/>
          <w:sz w:val="24"/>
          <w:u w:val="single"/>
        </w:rPr>
        <w:t>（</w:t>
      </w:r>
      <w:r>
        <w:rPr>
          <w:rFonts w:eastAsiaTheme="minorEastAsia"/>
          <w:color w:val="auto"/>
          <w:sz w:val="24"/>
          <w:u w:val="single"/>
        </w:rPr>
        <w:t>xc</w:t>
      </w:r>
      <w:r>
        <w:rPr>
          <w:rFonts w:hint="eastAsia" w:eastAsiaTheme="minorEastAsia"/>
          <w:color w:val="auto"/>
          <w:sz w:val="24"/>
          <w:u w:val="single"/>
        </w:rPr>
        <w:t>）</w:t>
      </w:r>
      <w:r>
        <w:rPr>
          <w:rFonts w:eastAsiaTheme="minorEastAsia"/>
          <w:color w:val="auto"/>
          <w:sz w:val="24"/>
          <w:u w:val="single"/>
        </w:rPr>
        <w:t>498-2019</w:t>
      </w:r>
      <w:r>
        <w:rPr>
          <w:rFonts w:hint="eastAsia" w:eastAsiaTheme="minorEastAsia"/>
          <w:color w:val="auto"/>
          <w:sz w:val="24"/>
          <w:u w:val="single"/>
        </w:rPr>
        <w:t>），在储能站投产运行后，其场界和评价范围内敏感点的工频电场强度为</w:t>
      </w:r>
      <w:r>
        <w:rPr>
          <w:rFonts w:eastAsiaTheme="minorEastAsia"/>
          <w:color w:val="auto"/>
          <w:sz w:val="24"/>
          <w:u w:val="single"/>
        </w:rPr>
        <w:t>0.3-12.3V/m</w:t>
      </w:r>
      <w:r>
        <w:rPr>
          <w:rFonts w:hint="eastAsia" w:eastAsiaTheme="minorEastAsia"/>
          <w:color w:val="auto"/>
          <w:sz w:val="24"/>
          <w:u w:val="single"/>
        </w:rPr>
        <w:t>，均小于</w:t>
      </w:r>
      <w:r>
        <w:rPr>
          <w:rFonts w:eastAsiaTheme="minorEastAsia"/>
          <w:color w:val="auto"/>
          <w:sz w:val="24"/>
          <w:u w:val="single"/>
        </w:rPr>
        <w:t>4000V/m</w:t>
      </w:r>
      <w:r>
        <w:rPr>
          <w:rFonts w:hint="eastAsia" w:eastAsiaTheme="minorEastAsia"/>
          <w:color w:val="auto"/>
          <w:sz w:val="24"/>
          <w:u w:val="single"/>
        </w:rPr>
        <w:t>的标准限值；工频磁感应强度为</w:t>
      </w:r>
      <w:r>
        <w:rPr>
          <w:rFonts w:eastAsiaTheme="minorEastAsia"/>
          <w:color w:val="auto"/>
          <w:sz w:val="24"/>
          <w:u w:val="single"/>
        </w:rPr>
        <w:t>0.046-1.284μT</w:t>
      </w:r>
      <w:r>
        <w:rPr>
          <w:rFonts w:hint="eastAsia" w:eastAsiaTheme="minorEastAsia"/>
          <w:color w:val="auto"/>
          <w:sz w:val="24"/>
          <w:u w:val="single"/>
        </w:rPr>
        <w:t>，均小于</w:t>
      </w:r>
      <w:r>
        <w:rPr>
          <w:rFonts w:eastAsiaTheme="minorEastAsia"/>
          <w:color w:val="auto"/>
          <w:sz w:val="24"/>
          <w:u w:val="single"/>
        </w:rPr>
        <w:t>100μT</w:t>
      </w:r>
      <w:r>
        <w:rPr>
          <w:rFonts w:hint="eastAsia" w:eastAsiaTheme="minorEastAsia"/>
          <w:color w:val="auto"/>
          <w:sz w:val="24"/>
          <w:u w:val="single"/>
        </w:rPr>
        <w:t>的标准限值。</w:t>
      </w:r>
    </w:p>
    <w:bookmarkEnd w:id="54"/>
    <w:p>
      <w:pPr>
        <w:adjustRightInd w:val="0"/>
        <w:snapToGrid w:val="0"/>
        <w:spacing w:line="360" w:lineRule="auto"/>
        <w:jc w:val="left"/>
        <w:rPr>
          <w:b/>
          <w:bCs/>
          <w:color w:val="auto"/>
          <w:sz w:val="24"/>
        </w:rPr>
      </w:pPr>
      <w:bookmarkStart w:id="60" w:name="_Hlk35437194"/>
      <w:r>
        <w:rPr>
          <w:color w:val="auto"/>
          <w:sz w:val="24"/>
          <w:szCs w:val="24"/>
        </w:rPr>
        <w:t>3.2</w:t>
      </w:r>
      <w:r>
        <w:rPr>
          <w:rFonts w:hint="eastAsia"/>
          <w:b/>
          <w:bCs/>
          <w:color w:val="auto"/>
          <w:sz w:val="24"/>
        </w:rPr>
        <w:t>输电线路线路环境理论计算及评价</w:t>
      </w:r>
    </w:p>
    <w:p>
      <w:pPr>
        <w:spacing w:line="360" w:lineRule="auto"/>
        <w:ind w:firstLine="480"/>
        <w:rPr>
          <w:color w:val="auto"/>
          <w:sz w:val="24"/>
          <w:szCs w:val="24"/>
        </w:rPr>
      </w:pPr>
      <w:r>
        <w:rPr>
          <w:rFonts w:hint="eastAsia"/>
          <w:color w:val="auto"/>
          <w:sz w:val="24"/>
          <w:szCs w:val="24"/>
        </w:rPr>
        <w:t>本项目送电线路的工频电场强度、工频磁感应强度的理论计算根据《环境影响评价技术导则</w:t>
      </w:r>
      <w:r>
        <w:rPr>
          <w:color w:val="auto"/>
          <w:sz w:val="24"/>
          <w:szCs w:val="24"/>
        </w:rPr>
        <w:t>-</w:t>
      </w:r>
      <w:r>
        <w:rPr>
          <w:rFonts w:hint="eastAsia"/>
          <w:color w:val="auto"/>
          <w:sz w:val="24"/>
          <w:szCs w:val="24"/>
        </w:rPr>
        <w:t>输变电工程》（</w:t>
      </w:r>
      <w:r>
        <w:rPr>
          <w:rFonts w:hint="eastAsia"/>
          <w:color w:val="auto"/>
          <w:sz w:val="24"/>
          <w:szCs w:val="24"/>
          <w:lang w:eastAsia="zh-CN"/>
        </w:rPr>
        <w:t>HJ24-2020</w:t>
      </w:r>
      <w:r>
        <w:rPr>
          <w:rFonts w:hint="eastAsia"/>
          <w:color w:val="auto"/>
          <w:sz w:val="24"/>
          <w:szCs w:val="24"/>
        </w:rPr>
        <w:t>）附录</w:t>
      </w:r>
      <w:r>
        <w:rPr>
          <w:color w:val="auto"/>
          <w:sz w:val="24"/>
          <w:szCs w:val="24"/>
        </w:rPr>
        <w:t>C</w:t>
      </w:r>
      <w:r>
        <w:rPr>
          <w:rFonts w:hint="eastAsia"/>
          <w:color w:val="auto"/>
          <w:sz w:val="24"/>
          <w:szCs w:val="24"/>
        </w:rPr>
        <w:t>、</w:t>
      </w:r>
      <w:r>
        <w:rPr>
          <w:color w:val="auto"/>
          <w:sz w:val="24"/>
          <w:szCs w:val="24"/>
        </w:rPr>
        <w:t>D</w:t>
      </w:r>
      <w:r>
        <w:rPr>
          <w:rFonts w:hint="eastAsia"/>
          <w:color w:val="auto"/>
          <w:sz w:val="24"/>
          <w:szCs w:val="24"/>
        </w:rPr>
        <w:t>推荐的计算模式进行的。</w:t>
      </w:r>
    </w:p>
    <w:p>
      <w:pPr>
        <w:widowControl/>
        <w:autoSpaceDE w:val="0"/>
        <w:autoSpaceDN w:val="0"/>
        <w:spacing w:line="360" w:lineRule="auto"/>
        <w:ind w:firstLine="470" w:firstLineChars="196"/>
        <w:rPr>
          <w:color w:val="auto"/>
          <w:kern w:val="0"/>
          <w:sz w:val="24"/>
          <w:szCs w:val="24"/>
        </w:rPr>
      </w:pPr>
      <w:r>
        <w:rPr>
          <w:rFonts w:hint="eastAsia"/>
          <w:color w:val="auto"/>
          <w:kern w:val="0"/>
          <w:sz w:val="24"/>
          <w:szCs w:val="24"/>
        </w:rPr>
        <w:t>（</w:t>
      </w:r>
      <w:r>
        <w:rPr>
          <w:color w:val="auto"/>
          <w:kern w:val="0"/>
          <w:sz w:val="24"/>
          <w:szCs w:val="24"/>
        </w:rPr>
        <w:t>1</w:t>
      </w:r>
      <w:r>
        <w:rPr>
          <w:rFonts w:hint="eastAsia"/>
          <w:color w:val="auto"/>
          <w:kern w:val="0"/>
          <w:sz w:val="24"/>
          <w:szCs w:val="24"/>
        </w:rPr>
        <w:t>）工频电场强度预测模型</w:t>
      </w:r>
    </w:p>
    <w:p>
      <w:pPr>
        <w:pStyle w:val="315"/>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高压输电线上的等效电荷是线电荷，由于高压输电线半径</w:t>
      </w:r>
      <w:r>
        <w:rPr>
          <w:rFonts w:ascii="Times New Roman" w:hAnsi="Times New Roman" w:eastAsia="宋体" w:cs="Times New Roman"/>
          <w:i/>
          <w:color w:val="auto"/>
          <w:szCs w:val="24"/>
        </w:rPr>
        <w:t>r</w:t>
      </w:r>
      <w:r>
        <w:rPr>
          <w:rFonts w:hint="eastAsia" w:ascii="Times New Roman" w:hAnsi="Times New Roman" w:eastAsia="宋体" w:cs="Times New Roman"/>
          <w:color w:val="auto"/>
          <w:szCs w:val="24"/>
        </w:rPr>
        <w:t>远远小于架设高度</w:t>
      </w:r>
      <w:r>
        <w:rPr>
          <w:rFonts w:ascii="Times New Roman" w:hAnsi="Times New Roman" w:eastAsia="宋体" w:cs="Times New Roman"/>
          <w:i/>
          <w:color w:val="auto"/>
          <w:szCs w:val="24"/>
        </w:rPr>
        <w:t>h</w:t>
      </w:r>
      <w:r>
        <w:rPr>
          <w:rFonts w:hint="eastAsia" w:ascii="Times New Roman" w:hAnsi="Times New Roman" w:eastAsia="宋体" w:cs="Times New Roman"/>
          <w:color w:val="auto"/>
          <w:szCs w:val="24"/>
        </w:rPr>
        <w:t>，所以等效电荷的位置可以认为是在输电导线的几何中心。</w:t>
      </w:r>
    </w:p>
    <w:p>
      <w:pPr>
        <w:pStyle w:val="315"/>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设输电线路为无限长并且平行于地面，地面可视为良导体，利用镜像法计算输电线上的等效电荷。</w:t>
      </w:r>
    </w:p>
    <w:p>
      <w:pPr>
        <w:pStyle w:val="315"/>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为了计算多导线线路中导线上的等效电荷，可写出下列矩阵方程：</w:t>
      </w:r>
    </w:p>
    <w:p>
      <w:pPr>
        <w:pStyle w:val="257"/>
        <w:spacing w:line="360" w:lineRule="auto"/>
        <w:ind w:firstLine="480"/>
        <w:jc w:val="center"/>
        <w:rPr>
          <w:rStyle w:val="203"/>
          <w:rFonts w:ascii="Times New Roman" w:eastAsia="宋体" w:cs="Times New Roman"/>
          <w:color w:val="auto"/>
          <w:szCs w:val="24"/>
        </w:rPr>
      </w:pPr>
      <w:r>
        <w:rPr>
          <w:rFonts w:ascii="Times New Roman" w:eastAsia="宋体" w:cs="Times New Roman"/>
          <w:color w:val="auto"/>
          <w:position w:val="-68"/>
          <w:szCs w:val="24"/>
        </w:rPr>
        <w:t xml:space="preserve">     </w:t>
      </w:r>
      <w:r>
        <w:rPr>
          <w:rFonts w:ascii="Times New Roman" w:eastAsia="宋体" w:cs="Times New Roman"/>
          <w:color w:val="auto"/>
          <w:position w:val="-68"/>
          <w:szCs w:val="24"/>
        </w:rPr>
        <w:object>
          <v:shape id="_x0000_i1056" o:spt="75" type="#_x0000_t75" style="height:76.4pt;width:181.55pt;" o:ole="t" filled="f" o:preferrelative="t" stroked="f" coordsize="21600,21600">
            <v:path/>
            <v:fill on="f" focussize="0,0"/>
            <v:stroke on="f" joinstyle="miter"/>
            <v:imagedata r:id="rId79" o:title=""/>
            <o:lock v:ext="edit" aspectratio="t"/>
            <w10:wrap type="none"/>
            <w10:anchorlock/>
          </v:shape>
          <o:OLEObject Type="Embed" ProgID="Equation.DSMT4" ShapeID="_x0000_i1056" DrawAspect="Content" ObjectID="_1468075756" r:id="rId78">
            <o:LockedField>false</o:LockedField>
          </o:OLEObject>
        </w:object>
      </w:r>
      <w:r>
        <w:rPr>
          <w:rStyle w:val="203"/>
          <w:rFonts w:ascii="Times New Roman" w:eastAsia="宋体" w:cs="Times New Roman"/>
          <w:color w:val="auto"/>
          <w:szCs w:val="24"/>
        </w:rPr>
        <w:t xml:space="preserve">                    </w:t>
      </w:r>
      <w:r>
        <w:rPr>
          <w:rStyle w:val="203"/>
          <w:rFonts w:hint="eastAsia" w:ascii="Times New Roman" w:eastAsia="宋体" w:cs="Times New Roman"/>
          <w:color w:val="auto"/>
          <w:szCs w:val="24"/>
        </w:rPr>
        <w:t>（公式</w:t>
      </w:r>
      <w:r>
        <w:rPr>
          <w:rStyle w:val="203"/>
          <w:rFonts w:ascii="Times New Roman" w:eastAsia="宋体" w:cs="Times New Roman"/>
          <w:color w:val="auto"/>
          <w:szCs w:val="24"/>
        </w:rPr>
        <w:t>1</w:t>
      </w:r>
      <w:r>
        <w:rPr>
          <w:rStyle w:val="203"/>
          <w:rFonts w:hint="eastAsia" w:ascii="Times New Roman" w:eastAsia="宋体" w:cs="Times New Roman"/>
          <w:color w:val="auto"/>
          <w:szCs w:val="24"/>
        </w:rPr>
        <w:t>）</w:t>
      </w:r>
    </w:p>
    <w:p>
      <w:pPr>
        <w:pStyle w:val="315"/>
        <w:spacing w:line="360" w:lineRule="auto"/>
        <w:ind w:firstLine="0" w:firstLineChars="0"/>
        <w:rPr>
          <w:rFonts w:ascii="Times New Roman" w:hAnsi="Times New Roman" w:eastAsia="宋体" w:cs="Times New Roman"/>
          <w:color w:val="auto"/>
          <w:szCs w:val="24"/>
        </w:rPr>
      </w:pPr>
      <w:r>
        <w:rPr>
          <w:rFonts w:hint="eastAsia" w:ascii="Times New Roman" w:hAnsi="Times New Roman" w:eastAsia="宋体" w:cs="Times New Roman"/>
          <w:color w:val="auto"/>
          <w:szCs w:val="24"/>
        </w:rPr>
        <w:t>式中：</w:t>
      </w:r>
      <w:r>
        <w:rPr>
          <w:rFonts w:ascii="Times New Roman" w:hAnsi="Times New Roman" w:eastAsia="宋体" w:cs="Times New Roman"/>
          <w:i/>
          <w:color w:val="auto"/>
          <w:szCs w:val="24"/>
        </w:rPr>
        <w:t>U</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各导线对地电压的单列矩阵；</w:t>
      </w:r>
    </w:p>
    <w:p>
      <w:pPr>
        <w:pStyle w:val="315"/>
        <w:spacing w:line="360" w:lineRule="auto"/>
        <w:ind w:firstLine="787" w:firstLineChars="328"/>
        <w:rPr>
          <w:rFonts w:ascii="Times New Roman" w:hAnsi="Times New Roman" w:eastAsia="宋体" w:cs="Times New Roman"/>
          <w:color w:val="auto"/>
          <w:szCs w:val="24"/>
        </w:rPr>
      </w:pPr>
      <w:r>
        <w:rPr>
          <w:rFonts w:ascii="Times New Roman" w:hAnsi="Times New Roman" w:eastAsia="宋体" w:cs="Times New Roman"/>
          <w:i/>
          <w:color w:val="auto"/>
          <w:szCs w:val="24"/>
        </w:rPr>
        <w:t>Q</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各导线上等效电荷的单列矩阵；</w:t>
      </w:r>
    </w:p>
    <w:p>
      <w:pPr>
        <w:pStyle w:val="315"/>
        <w:spacing w:line="360" w:lineRule="auto"/>
        <w:ind w:firstLine="787" w:firstLineChars="328"/>
        <w:rPr>
          <w:rFonts w:ascii="Times New Roman" w:hAnsi="Times New Roman" w:eastAsia="宋体" w:cs="Times New Roman"/>
          <w:color w:val="auto"/>
          <w:szCs w:val="24"/>
        </w:rPr>
      </w:pPr>
      <w:r>
        <w:rPr>
          <w:rFonts w:ascii="Times New Roman" w:hAnsi="Times New Roman" w:eastAsia="宋体" w:cs="Times New Roman"/>
          <w:i/>
          <w:color w:val="auto"/>
          <w:szCs w:val="24"/>
        </w:rPr>
        <w:t>λ</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各导线的电位系数组成的</w:t>
      </w:r>
      <w:r>
        <w:rPr>
          <w:rFonts w:ascii="Times New Roman" w:hAnsi="Times New Roman" w:eastAsia="宋体" w:cs="Times New Roman"/>
          <w:i/>
          <w:color w:val="auto"/>
          <w:szCs w:val="24"/>
        </w:rPr>
        <w:t>m</w:t>
      </w:r>
      <w:r>
        <w:rPr>
          <w:rFonts w:hint="eastAsia" w:ascii="Times New Roman" w:hAnsi="Times New Roman" w:eastAsia="宋体" w:cs="Times New Roman"/>
          <w:color w:val="auto"/>
          <w:szCs w:val="24"/>
        </w:rPr>
        <w:t>阶方阵（</w:t>
      </w:r>
      <w:r>
        <w:rPr>
          <w:rFonts w:ascii="Times New Roman" w:hAnsi="Times New Roman" w:eastAsia="宋体" w:cs="Times New Roman"/>
          <w:i/>
          <w:color w:val="auto"/>
          <w:szCs w:val="24"/>
        </w:rPr>
        <w:t>m</w:t>
      </w:r>
      <w:r>
        <w:rPr>
          <w:rFonts w:hint="eastAsia" w:ascii="Times New Roman" w:hAnsi="Times New Roman" w:eastAsia="宋体" w:cs="Times New Roman"/>
          <w:color w:val="auto"/>
          <w:szCs w:val="24"/>
        </w:rPr>
        <w:t>为导线数目）。</w:t>
      </w:r>
    </w:p>
    <w:p>
      <w:pPr>
        <w:pStyle w:val="315"/>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w:t>
      </w:r>
      <w:r>
        <w:rPr>
          <w:rFonts w:ascii="Times New Roman" w:hAnsi="Times New Roman" w:eastAsia="宋体" w:cs="Times New Roman"/>
          <w:i/>
          <w:color w:val="auto"/>
          <w:szCs w:val="24"/>
        </w:rPr>
        <w:t>U</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矩阵可由输电线的电压和相位确定，从环境保护考虑以额定电压的</w:t>
      </w:r>
      <w:r>
        <w:rPr>
          <w:rFonts w:ascii="Times New Roman" w:hAnsi="Times New Roman" w:eastAsia="宋体" w:cs="Times New Roman"/>
          <w:color w:val="auto"/>
          <w:szCs w:val="24"/>
        </w:rPr>
        <w:t>1.05</w:t>
      </w:r>
      <w:r>
        <w:rPr>
          <w:rFonts w:hint="eastAsia" w:ascii="Times New Roman" w:hAnsi="Times New Roman" w:eastAsia="宋体" w:cs="Times New Roman"/>
          <w:color w:val="auto"/>
          <w:szCs w:val="24"/>
        </w:rPr>
        <w:t>倍作为计算电压。</w:t>
      </w:r>
    </w:p>
    <w:p>
      <w:pPr>
        <w:pStyle w:val="315"/>
        <w:spacing w:line="360" w:lineRule="auto"/>
        <w:rPr>
          <w:rFonts w:ascii="Times New Roman" w:hAnsi="Times New Roman" w:eastAsia="宋体" w:cs="Times New Roman"/>
          <w:color w:val="auto"/>
          <w:szCs w:val="24"/>
        </w:rPr>
      </w:pPr>
      <w:r>
        <w:rPr>
          <w:rFonts w:ascii="Times New Roman" w:hAnsi="Times New Roman" w:eastAsia="宋体" w:cs="Times New Roman"/>
          <w:color w:val="auto"/>
          <w:szCs w:val="24"/>
        </w:rPr>
        <w:t>[</w:t>
      </w:r>
      <w:r>
        <w:rPr>
          <w:rFonts w:ascii="Times New Roman" w:hAnsi="Times New Roman" w:eastAsia="宋体" w:cs="Times New Roman"/>
          <w:i/>
          <w:color w:val="auto"/>
          <w:szCs w:val="24"/>
        </w:rPr>
        <w:t>λ</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矩阵由镜像原理求得。地面为电位等于零的平面，地面的感应电荷可由对应地面导线的镜像电荷代替，用</w:t>
      </w:r>
      <w:r>
        <w:rPr>
          <w:rFonts w:ascii="Times New Roman" w:hAnsi="Times New Roman" w:eastAsia="宋体" w:cs="Times New Roman"/>
          <w:i/>
          <w:color w:val="auto"/>
          <w:szCs w:val="24"/>
        </w:rPr>
        <w:t>i</w:t>
      </w:r>
      <w:r>
        <w:rPr>
          <w:rFonts w:hint="eastAsia" w:ascii="Times New Roman" w:hAnsi="Times New Roman" w:eastAsia="宋体" w:cs="Times New Roman"/>
          <w:color w:val="auto"/>
          <w:szCs w:val="24"/>
        </w:rPr>
        <w:t>，</w:t>
      </w:r>
      <w:r>
        <w:rPr>
          <w:rFonts w:ascii="Times New Roman" w:hAnsi="Times New Roman" w:eastAsia="宋体" w:cs="Times New Roman"/>
          <w:i/>
          <w:color w:val="auto"/>
          <w:szCs w:val="24"/>
        </w:rPr>
        <w:t>j</w:t>
      </w:r>
      <w:r>
        <w:rPr>
          <w:rFonts w:hint="eastAsia" w:ascii="Times New Roman" w:hAnsi="Times New Roman" w:eastAsia="宋体" w:cs="Times New Roman"/>
          <w:i/>
          <w:color w:val="auto"/>
          <w:szCs w:val="24"/>
        </w:rPr>
        <w:t>，</w:t>
      </w:r>
      <w:r>
        <w:rPr>
          <w:rFonts w:ascii="Times New Roman" w:hAnsi="Times New Roman" w:eastAsia="宋体" w:cs="Times New Roman"/>
          <w:color w:val="auto"/>
          <w:szCs w:val="24"/>
        </w:rPr>
        <w:t xml:space="preserve">… </w:t>
      </w:r>
      <w:r>
        <w:rPr>
          <w:rFonts w:hint="eastAsia" w:ascii="Times New Roman" w:hAnsi="Times New Roman" w:eastAsia="宋体" w:cs="Times New Roman"/>
          <w:color w:val="auto"/>
          <w:szCs w:val="24"/>
        </w:rPr>
        <w:t>表示相互平行的实际导线，用</w:t>
      </w:r>
      <w:r>
        <w:rPr>
          <w:rFonts w:hint="eastAsia" w:ascii="Times New Roman" w:hAnsi="Times New Roman" w:eastAsia="宋体" w:cs="Times New Roman"/>
          <w:i/>
          <w:color w:val="auto"/>
          <w:szCs w:val="24"/>
        </w:rPr>
        <w:t>i示</w:t>
      </w:r>
      <w:r>
        <w:rPr>
          <w:rFonts w:hint="eastAsia" w:ascii="Times New Roman" w:hAnsi="Times New Roman" w:eastAsia="宋体" w:cs="Times New Roman"/>
          <w:color w:val="auto"/>
          <w:szCs w:val="24"/>
        </w:rPr>
        <w:t>，</w:t>
      </w:r>
      <w:r>
        <w:rPr>
          <w:rFonts w:hint="eastAsia" w:ascii="Times New Roman" w:hAnsi="Times New Roman" w:eastAsia="宋体" w:cs="Times New Roman"/>
          <w:i/>
          <w:color w:val="auto"/>
          <w:szCs w:val="24"/>
        </w:rPr>
        <w:t>j示</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 xml:space="preserve">… </w:t>
      </w:r>
      <w:r>
        <w:rPr>
          <w:rFonts w:hint="eastAsia" w:ascii="Times New Roman" w:hAnsi="Times New Roman" w:eastAsia="宋体" w:cs="Times New Roman"/>
          <w:color w:val="auto"/>
          <w:szCs w:val="24"/>
        </w:rPr>
        <w:t>表示它们的镜像，如图</w:t>
      </w:r>
      <w:r>
        <w:rPr>
          <w:rFonts w:ascii="Times New Roman" w:hAnsi="Times New Roman" w:eastAsia="宋体" w:cs="Times New Roman"/>
          <w:color w:val="auto"/>
          <w:szCs w:val="24"/>
        </w:rPr>
        <w:t>7-1</w:t>
      </w:r>
      <w:r>
        <w:rPr>
          <w:rFonts w:hint="eastAsia" w:ascii="Times New Roman" w:hAnsi="Times New Roman" w:eastAsia="宋体" w:cs="Times New Roman"/>
          <w:color w:val="auto"/>
          <w:szCs w:val="24"/>
        </w:rPr>
        <w:t>所示，电位系数可写为：</w:t>
      </w:r>
    </w:p>
    <w:p>
      <w:pPr>
        <w:pStyle w:val="257"/>
        <w:spacing w:line="360" w:lineRule="auto"/>
        <w:ind w:firstLine="480"/>
        <w:rPr>
          <w:rStyle w:val="203"/>
          <w:rFonts w:ascii="Times New Roman" w:eastAsia="宋体" w:cs="Times New Roman"/>
          <w:color w:val="auto"/>
          <w:szCs w:val="24"/>
        </w:rPr>
      </w:pPr>
      <w:r>
        <w:rPr>
          <w:rFonts w:ascii="Times New Roman" w:eastAsia="宋体" w:cs="Times New Roman"/>
          <w:color w:val="auto"/>
          <w:position w:val="-30"/>
          <w:szCs w:val="24"/>
        </w:rPr>
        <w:object>
          <v:shape id="_x0000_i1057" o:spt="75" type="#_x0000_t75" style="height:39.45pt;width:94.55pt;" o:ole="t" filled="f" o:preferrelative="t" stroked="f" coordsize="21600,21600">
            <v:path/>
            <v:fill on="f" focussize="0,0"/>
            <v:stroke on="f" joinstyle="miter"/>
            <v:imagedata r:id="rId81" o:title=""/>
            <o:lock v:ext="edit" aspectratio="t"/>
            <w10:wrap type="none"/>
            <w10:anchorlock/>
          </v:shape>
          <o:OLEObject Type="Embed" ProgID="Equation.3" ShapeID="_x0000_i1057" DrawAspect="Content" ObjectID="_1468075757" r:id="rId80">
            <o:LockedField>false</o:LockedField>
          </o:OLEObject>
        </w:object>
      </w:r>
      <w:r>
        <w:rPr>
          <w:rFonts w:ascii="Times New Roman" w:eastAsia="宋体" w:cs="Times New Roman"/>
          <w:color w:val="auto"/>
          <w:szCs w:val="24"/>
        </w:rPr>
        <w:t xml:space="preserve">                                            </w:t>
      </w:r>
      <w:r>
        <w:rPr>
          <w:rStyle w:val="203"/>
          <w:rFonts w:hint="eastAsia" w:ascii="Times New Roman" w:eastAsia="宋体" w:cs="Times New Roman"/>
          <w:color w:val="auto"/>
          <w:szCs w:val="24"/>
        </w:rPr>
        <w:t>（公式</w:t>
      </w:r>
      <w:r>
        <w:rPr>
          <w:rStyle w:val="203"/>
          <w:rFonts w:ascii="Times New Roman" w:eastAsia="宋体" w:cs="Times New Roman"/>
          <w:color w:val="auto"/>
          <w:szCs w:val="24"/>
        </w:rPr>
        <w:t>2</w:t>
      </w:r>
      <w:r>
        <w:rPr>
          <w:rStyle w:val="203"/>
          <w:rFonts w:hint="eastAsia" w:ascii="Times New Roman" w:eastAsia="宋体" w:cs="Times New Roman"/>
          <w:color w:val="auto"/>
          <w:szCs w:val="24"/>
        </w:rPr>
        <w:t>）</w:t>
      </w:r>
    </w:p>
    <w:p>
      <w:pPr>
        <w:pStyle w:val="257"/>
        <w:spacing w:line="360" w:lineRule="auto"/>
        <w:ind w:firstLine="480"/>
        <w:jc w:val="left"/>
        <w:rPr>
          <w:rStyle w:val="203"/>
          <w:rFonts w:ascii="Times New Roman" w:eastAsia="宋体" w:cs="Times New Roman"/>
          <w:color w:val="auto"/>
          <w:szCs w:val="24"/>
        </w:rPr>
      </w:pPr>
      <w:r>
        <w:rPr>
          <w:rFonts w:ascii="Times New Roman" w:eastAsia="宋体" w:cs="Times New Roman"/>
          <w:color w:val="auto"/>
          <w:position w:val="-32"/>
          <w:szCs w:val="24"/>
        </w:rPr>
        <w:object>
          <v:shape id="_x0000_i1058" o:spt="75" type="#_x0000_t75" style="height:41.95pt;width:87.05pt;" o:ole="t" filled="f" o:preferrelative="t" stroked="f" coordsize="21600,21600">
            <v:path/>
            <v:fill on="f" focussize="0,0"/>
            <v:stroke on="f" joinstyle="miter"/>
            <v:imagedata r:id="rId83" o:title=""/>
            <o:lock v:ext="edit" aspectratio="t"/>
            <w10:wrap type="none"/>
            <w10:anchorlock/>
          </v:shape>
          <o:OLEObject Type="Embed" ProgID="Equation.3" ShapeID="_x0000_i1058" DrawAspect="Content" ObjectID="_1468075758" r:id="rId82">
            <o:LockedField>false</o:LockedField>
          </o:OLEObject>
        </w:object>
      </w:r>
      <w:r>
        <w:rPr>
          <w:rFonts w:ascii="Times New Roman" w:eastAsia="宋体" w:cs="Times New Roman"/>
          <w:color w:val="auto"/>
          <w:szCs w:val="24"/>
        </w:rPr>
        <w:t xml:space="preserve">                                             </w:t>
      </w:r>
      <w:r>
        <w:rPr>
          <w:rStyle w:val="203"/>
          <w:rFonts w:hint="eastAsia" w:ascii="Times New Roman" w:eastAsia="宋体" w:cs="Times New Roman"/>
          <w:color w:val="auto"/>
          <w:szCs w:val="24"/>
        </w:rPr>
        <w:t>（公式</w:t>
      </w:r>
      <w:r>
        <w:rPr>
          <w:rStyle w:val="203"/>
          <w:rFonts w:ascii="Times New Roman" w:eastAsia="宋体" w:cs="Times New Roman"/>
          <w:color w:val="auto"/>
          <w:szCs w:val="24"/>
        </w:rPr>
        <w:t>3</w:t>
      </w:r>
      <w:r>
        <w:rPr>
          <w:rStyle w:val="203"/>
          <w:rFonts w:hint="eastAsia" w:ascii="Times New Roman" w:eastAsia="宋体" w:cs="Times New Roman"/>
          <w:color w:val="auto"/>
          <w:szCs w:val="24"/>
        </w:rPr>
        <w:t>）</w:t>
      </w:r>
    </w:p>
    <w:p>
      <w:pPr>
        <w:pStyle w:val="204"/>
        <w:spacing w:line="360" w:lineRule="auto"/>
        <w:ind w:firstLine="0" w:firstLineChars="0"/>
        <w:rPr>
          <w:rFonts w:ascii="Times New Roman" w:hAnsi="Times New Roman" w:eastAsia="宋体" w:cs="Times New Roman"/>
          <w:color w:val="auto"/>
          <w:szCs w:val="24"/>
        </w:rPr>
      </w:pPr>
      <w:r>
        <w:rPr>
          <w:rFonts w:hint="eastAsia" w:ascii="Times New Roman" w:hAnsi="Times New Roman" w:eastAsia="宋体" w:cs="Times New Roman"/>
          <w:color w:val="auto"/>
          <w:szCs w:val="24"/>
        </w:rPr>
        <w:t>式中：</w:t>
      </w:r>
      <w:r>
        <w:rPr>
          <w:rFonts w:ascii="Times New Roman" w:hAnsi="Times New Roman" w:eastAsia="宋体" w:cs="Times New Roman"/>
          <w:i/>
          <w:color w:val="auto"/>
          <w:szCs w:val="24"/>
        </w:rPr>
        <w:t>ε</w:t>
      </w:r>
      <w:r>
        <w:rPr>
          <w:rFonts w:ascii="Times New Roman" w:hAnsi="Times New Roman" w:eastAsia="宋体" w:cs="Times New Roman"/>
          <w:i/>
          <w:color w:val="auto"/>
          <w:szCs w:val="24"/>
          <w:vertAlign w:val="subscript"/>
        </w:rPr>
        <w:t>0</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真空介电常数，</w:t>
      </w:r>
      <w:r>
        <w:rPr>
          <w:rFonts w:ascii="Times New Roman" w:hAnsi="Times New Roman" w:eastAsia="宋体" w:cs="Times New Roman"/>
          <w:color w:val="auto"/>
          <w:position w:val="-24"/>
          <w:szCs w:val="24"/>
        </w:rPr>
        <w:object>
          <v:shape id="_x0000_i1059" o:spt="75" type="#_x0000_t75" style="height:31.95pt;width:111.45pt;" o:ole="t" filled="f" o:preferrelative="t" stroked="f" coordsize="21600,21600">
            <v:path/>
            <v:fill on="f" focussize="0,0"/>
            <v:stroke on="f" joinstyle="miter"/>
            <v:imagedata r:id="rId85" o:title=""/>
            <o:lock v:ext="edit" aspectratio="t"/>
            <w10:wrap type="none"/>
            <w10:anchorlock/>
          </v:shape>
          <o:OLEObject Type="Embed" ProgID="Equation.3" ShapeID="_x0000_i1059" DrawAspect="Content" ObjectID="_1468075759" r:id="rId84">
            <o:LockedField>false</o:LockedField>
          </o:OLEObject>
        </w:object>
      </w:r>
      <w:r>
        <w:rPr>
          <w:rFonts w:hint="eastAsia" w:ascii="Times New Roman" w:hAnsi="Times New Roman" w:eastAsia="宋体" w:cs="Times New Roman"/>
          <w:color w:val="auto"/>
          <w:szCs w:val="24"/>
        </w:rPr>
        <w:t>；</w:t>
      </w:r>
    </w:p>
    <w:p>
      <w:pPr>
        <w:pStyle w:val="7"/>
        <w:spacing w:line="360" w:lineRule="auto"/>
        <w:ind w:firstLine="698" w:firstLineChars="291"/>
        <w:rPr>
          <w:color w:val="auto"/>
          <w:sz w:val="24"/>
          <w:szCs w:val="24"/>
        </w:rPr>
      </w:pPr>
      <w:r>
        <w:rPr>
          <w:i/>
          <w:color w:val="auto"/>
          <w:sz w:val="24"/>
          <w:szCs w:val="24"/>
        </w:rPr>
        <w:t>R</w:t>
      </w:r>
      <w:r>
        <w:rPr>
          <w:i/>
          <w:color w:val="auto"/>
          <w:sz w:val="24"/>
          <w:szCs w:val="24"/>
          <w:vertAlign w:val="subscript"/>
        </w:rPr>
        <w:t>i</w:t>
      </w:r>
      <w:r>
        <w:rPr>
          <w:color w:val="auto"/>
          <w:sz w:val="24"/>
          <w:szCs w:val="24"/>
        </w:rPr>
        <w:t>——</w:t>
      </w:r>
      <w:r>
        <w:rPr>
          <w:rFonts w:hint="eastAsia"/>
          <w:color w:val="auto"/>
          <w:sz w:val="24"/>
          <w:szCs w:val="24"/>
        </w:rPr>
        <w:t>输电导线半径，对于分裂导线可用等效单根导线半径代入，</w:t>
      </w:r>
      <w:r>
        <w:rPr>
          <w:i/>
          <w:color w:val="auto"/>
          <w:sz w:val="24"/>
          <w:szCs w:val="24"/>
        </w:rPr>
        <w:t>R</w:t>
      </w:r>
      <w:r>
        <w:rPr>
          <w:i/>
          <w:color w:val="auto"/>
          <w:sz w:val="24"/>
          <w:szCs w:val="24"/>
          <w:vertAlign w:val="subscript"/>
        </w:rPr>
        <w:t>i</w:t>
      </w:r>
      <w:r>
        <w:rPr>
          <w:rFonts w:hint="eastAsia"/>
          <w:color w:val="auto"/>
          <w:sz w:val="24"/>
          <w:szCs w:val="24"/>
        </w:rPr>
        <w:t>的计算式为：</w:t>
      </w:r>
    </w:p>
    <w:p>
      <w:pPr>
        <w:pStyle w:val="257"/>
        <w:spacing w:line="360" w:lineRule="auto"/>
        <w:ind w:firstLine="480"/>
        <w:rPr>
          <w:rFonts w:ascii="Times New Roman" w:eastAsia="宋体" w:cs="Times New Roman"/>
          <w:color w:val="auto"/>
          <w:szCs w:val="24"/>
        </w:rPr>
      </w:pPr>
      <w:r>
        <w:rPr>
          <w:rFonts w:ascii="Times New Roman" w:eastAsia="宋体" w:cs="Times New Roman"/>
          <w:color w:val="auto"/>
          <w:position w:val="-26"/>
          <w:szCs w:val="24"/>
        </w:rPr>
        <w:object>
          <v:shape id="_x0000_i1060" o:spt="75" type="#_x0000_t75" style="height:39.45pt;width:76.4pt;" o:ole="t" filled="f" o:preferrelative="t" stroked="f" coordsize="21600,21600">
            <v:path/>
            <v:fill on="f" focussize="0,0"/>
            <v:stroke on="f" joinstyle="miter"/>
            <v:imagedata r:id="rId87" o:title=""/>
            <o:lock v:ext="edit" aspectratio="t"/>
            <w10:wrap type="none"/>
            <w10:anchorlock/>
          </v:shape>
          <o:OLEObject Type="Embed" ProgID="Equation.3" ShapeID="_x0000_i1060" DrawAspect="Content" ObjectID="_1468075760" r:id="rId86">
            <o:LockedField>false</o:LockedField>
          </o:OLEObject>
        </w:object>
      </w:r>
      <w:r>
        <w:rPr>
          <w:rFonts w:ascii="Times New Roman" w:eastAsia="宋体" w:cs="Times New Roman"/>
          <w:color w:val="auto"/>
          <w:szCs w:val="24"/>
        </w:rPr>
        <w:t xml:space="preserve">                                              </w:t>
      </w:r>
      <w:r>
        <w:rPr>
          <w:rFonts w:hint="eastAsia" w:ascii="Times New Roman" w:eastAsia="宋体" w:cs="Times New Roman"/>
          <w:color w:val="auto"/>
          <w:szCs w:val="24"/>
        </w:rPr>
        <w:t>（</w:t>
      </w:r>
      <w:r>
        <w:rPr>
          <w:rStyle w:val="203"/>
          <w:rFonts w:hint="eastAsia" w:ascii="Times New Roman" w:eastAsia="宋体" w:cs="Times New Roman"/>
          <w:color w:val="auto"/>
          <w:szCs w:val="24"/>
        </w:rPr>
        <w:t>公式</w:t>
      </w:r>
      <w:r>
        <w:rPr>
          <w:rFonts w:ascii="Times New Roman" w:eastAsia="宋体" w:cs="Times New Roman"/>
          <w:color w:val="auto"/>
          <w:szCs w:val="24"/>
        </w:rPr>
        <w:t>4</w:t>
      </w:r>
      <w:r>
        <w:rPr>
          <w:rFonts w:hint="eastAsia" w:ascii="Times New Roman" w:eastAsia="宋体" w:cs="Times New Roman"/>
          <w:color w:val="auto"/>
          <w:szCs w:val="24"/>
        </w:rPr>
        <w:t>）</w:t>
      </w:r>
    </w:p>
    <w:p>
      <w:pPr>
        <w:pStyle w:val="315"/>
        <w:spacing w:line="360" w:lineRule="auto"/>
        <w:ind w:firstLine="0" w:firstLineChars="0"/>
        <w:rPr>
          <w:rFonts w:ascii="Times New Roman" w:hAnsi="Times New Roman" w:eastAsia="宋体" w:cs="Times New Roman"/>
          <w:color w:val="auto"/>
          <w:szCs w:val="24"/>
        </w:rPr>
      </w:pPr>
      <w:r>
        <w:rPr>
          <w:rFonts w:hint="eastAsia" w:ascii="Times New Roman" w:hAnsi="Times New Roman" w:eastAsia="宋体" w:cs="Times New Roman"/>
          <w:color w:val="auto"/>
          <w:szCs w:val="24"/>
        </w:rPr>
        <w:t>式中：</w:t>
      </w:r>
      <w:r>
        <w:rPr>
          <w:rFonts w:ascii="Times New Roman" w:hAnsi="Times New Roman" w:eastAsia="宋体" w:cs="Times New Roman"/>
          <w:i/>
          <w:color w:val="auto"/>
          <w:szCs w:val="24"/>
        </w:rPr>
        <w:t>R</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分裂导线半径，</w:t>
      </w:r>
      <w:r>
        <w:rPr>
          <w:rFonts w:ascii="Times New Roman" w:hAnsi="Times New Roman" w:eastAsia="宋体" w:cs="Times New Roman"/>
          <w:color w:val="auto"/>
          <w:szCs w:val="24"/>
        </w:rPr>
        <w:t>m</w:t>
      </w:r>
      <w:r>
        <w:rPr>
          <w:rFonts w:hint="eastAsia" w:ascii="Times New Roman" w:hAnsi="Times New Roman" w:eastAsia="宋体" w:cs="Times New Roman"/>
          <w:color w:val="auto"/>
          <w:szCs w:val="24"/>
        </w:rPr>
        <w:t>；（如图</w:t>
      </w:r>
      <w:r>
        <w:rPr>
          <w:rFonts w:ascii="Times New Roman" w:hAnsi="Times New Roman" w:eastAsia="宋体" w:cs="Times New Roman"/>
          <w:color w:val="auto"/>
          <w:szCs w:val="24"/>
        </w:rPr>
        <w:t>7-2</w:t>
      </w:r>
      <w:r>
        <w:rPr>
          <w:rFonts w:hint="eastAsia" w:ascii="Times New Roman" w:hAnsi="Times New Roman" w:eastAsia="宋体" w:cs="Times New Roman"/>
          <w:color w:val="auto"/>
          <w:szCs w:val="24"/>
        </w:rPr>
        <w:t>）</w:t>
      </w:r>
    </w:p>
    <w:p>
      <w:pPr>
        <w:pStyle w:val="270"/>
        <w:spacing w:line="360" w:lineRule="auto"/>
        <w:ind w:firstLine="720" w:firstLineChars="300"/>
        <w:rPr>
          <w:rFonts w:ascii="Times New Roman" w:hAnsi="Times New Roman" w:eastAsia="宋体" w:cs="Times New Roman"/>
          <w:color w:val="auto"/>
          <w:szCs w:val="24"/>
        </w:rPr>
      </w:pPr>
      <w:r>
        <w:rPr>
          <w:rFonts w:ascii="Times New Roman" w:hAnsi="Times New Roman" w:eastAsia="宋体" w:cs="Times New Roman"/>
          <w:i/>
          <w:color w:val="auto"/>
          <w:szCs w:val="24"/>
        </w:rPr>
        <w:t>n</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次导线根数；</w:t>
      </w:r>
    </w:p>
    <w:p>
      <w:pPr>
        <w:pStyle w:val="270"/>
        <w:spacing w:line="360" w:lineRule="auto"/>
        <w:ind w:firstLine="720" w:firstLineChars="300"/>
        <w:rPr>
          <w:rFonts w:ascii="Times New Roman" w:hAnsi="Times New Roman" w:eastAsia="宋体" w:cs="Times New Roman"/>
          <w:color w:val="auto"/>
          <w:szCs w:val="24"/>
        </w:rPr>
      </w:pPr>
      <w:r>
        <w:rPr>
          <w:rFonts w:ascii="Times New Roman" w:hAnsi="Times New Roman" w:eastAsia="宋体" w:cs="Times New Roman"/>
          <w:i/>
          <w:color w:val="auto"/>
          <w:szCs w:val="24"/>
        </w:rPr>
        <w:t>r</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次导线半径，</w:t>
      </w:r>
      <w:r>
        <w:rPr>
          <w:rFonts w:ascii="Times New Roman" w:hAnsi="Times New Roman" w:eastAsia="宋体" w:cs="Times New Roman"/>
          <w:color w:val="auto"/>
          <w:szCs w:val="24"/>
        </w:rPr>
        <w:t>m</w:t>
      </w:r>
      <w:r>
        <w:rPr>
          <w:rFonts w:hint="eastAsia" w:ascii="Times New Roman" w:hAnsi="Times New Roman" w:eastAsia="宋体" w:cs="Times New Roman"/>
          <w:color w:val="auto"/>
          <w:szCs w:val="24"/>
        </w:rPr>
        <w:t>。</w:t>
      </w:r>
    </w:p>
    <w:p>
      <w:pPr>
        <w:pStyle w:val="315"/>
        <w:spacing w:before="120"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由</w:t>
      </w:r>
      <w:r>
        <w:rPr>
          <w:rFonts w:ascii="Times New Roman" w:hAnsi="Times New Roman" w:eastAsia="宋体" w:cs="Times New Roman"/>
          <w:color w:val="auto"/>
          <w:szCs w:val="24"/>
        </w:rPr>
        <w:t>[</w:t>
      </w:r>
      <w:r>
        <w:rPr>
          <w:rFonts w:ascii="Times New Roman" w:hAnsi="Times New Roman" w:eastAsia="宋体" w:cs="Times New Roman"/>
          <w:i/>
          <w:color w:val="auto"/>
          <w:szCs w:val="24"/>
        </w:rPr>
        <w:t>U</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矩阵和</w:t>
      </w:r>
      <w:r>
        <w:rPr>
          <w:rFonts w:ascii="Times New Roman" w:hAnsi="Times New Roman" w:eastAsia="宋体" w:cs="Times New Roman"/>
          <w:color w:val="auto"/>
          <w:szCs w:val="24"/>
        </w:rPr>
        <w:t>[</w:t>
      </w:r>
      <w:r>
        <w:rPr>
          <w:rFonts w:ascii="Times New Roman" w:hAnsi="Times New Roman" w:eastAsia="宋体" w:cs="Times New Roman"/>
          <w:i/>
          <w:color w:val="auto"/>
          <w:szCs w:val="24"/>
        </w:rPr>
        <w:t>λ</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矩阵，利用式（</w:t>
      </w: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）即可解出</w:t>
      </w:r>
      <w:r>
        <w:rPr>
          <w:rFonts w:ascii="Times New Roman" w:hAnsi="Times New Roman" w:eastAsia="宋体" w:cs="Times New Roman"/>
          <w:color w:val="auto"/>
          <w:szCs w:val="24"/>
        </w:rPr>
        <w:t>[</w:t>
      </w:r>
      <w:r>
        <w:rPr>
          <w:rFonts w:ascii="Times New Roman" w:hAnsi="Times New Roman" w:eastAsia="宋体" w:cs="Times New Roman"/>
          <w:i/>
          <w:color w:val="auto"/>
          <w:szCs w:val="24"/>
        </w:rPr>
        <w:t>Q</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矩阵。</w:t>
      </w:r>
    </w:p>
    <w:p>
      <w:pPr>
        <w:pStyle w:val="315"/>
        <w:spacing w:line="360" w:lineRule="auto"/>
        <w:ind w:firstLine="0" w:firstLineChars="0"/>
        <w:jc w:val="center"/>
        <w:rPr>
          <w:rFonts w:ascii="Times New Roman" w:hAnsi="Times New Roman" w:eastAsia="宋体" w:cs="Times New Roman"/>
          <w:color w:val="auto"/>
          <w:szCs w:val="24"/>
        </w:rPr>
      </w:pPr>
      <w:r>
        <w:rPr>
          <w:rFonts w:ascii="Times New Roman" w:hAnsi="Times New Roman" w:eastAsia="宋体" w:cs="Times New Roman"/>
          <w:color w:val="auto"/>
          <w:szCs w:val="24"/>
        </w:rPr>
        <w:drawing>
          <wp:inline distT="0" distB="0" distL="0" distR="0">
            <wp:extent cx="2381250" cy="2156460"/>
            <wp:effectExtent l="19050" t="0" r="0" b="0"/>
            <wp:docPr id="72" name="图片 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descr="001"/>
                    <pic:cNvPicPr>
                      <a:picLocks noChangeAspect="1" noChangeArrowheads="1"/>
                    </pic:cNvPicPr>
                  </pic:nvPicPr>
                  <pic:blipFill>
                    <a:blip r:embed="rId88" cstate="print"/>
                    <a:srcRect/>
                    <a:stretch>
                      <a:fillRect/>
                    </a:stretch>
                  </pic:blipFill>
                  <pic:spPr>
                    <a:xfrm>
                      <a:off x="0" y="0"/>
                      <a:ext cx="2381250" cy="2156460"/>
                    </a:xfrm>
                    <a:prstGeom prst="rect">
                      <a:avLst/>
                    </a:prstGeom>
                    <a:noFill/>
                    <a:ln w="9525">
                      <a:noFill/>
                      <a:miter lim="800000"/>
                      <a:headEnd/>
                      <a:tailEnd/>
                    </a:ln>
                    <a:effectLst/>
                  </pic:spPr>
                </pic:pic>
              </a:graphicData>
            </a:graphic>
          </wp:inline>
        </w:drawing>
      </w:r>
      <w:r>
        <w:rPr>
          <w:rFonts w:ascii="Times New Roman" w:hAnsi="Times New Roman" w:eastAsia="宋体" w:cs="Times New Roman"/>
          <w:color w:val="auto"/>
          <w:szCs w:val="24"/>
        </w:rPr>
        <w:t xml:space="preserve">          </w:t>
      </w:r>
      <w:r>
        <w:rPr>
          <w:rFonts w:ascii="Times New Roman" w:hAnsi="Times New Roman" w:eastAsia="宋体" w:cs="Times New Roman"/>
          <w:color w:val="auto"/>
          <w:szCs w:val="24"/>
        </w:rPr>
        <w:drawing>
          <wp:inline distT="0" distB="0" distL="0" distR="0">
            <wp:extent cx="2074545" cy="1883410"/>
            <wp:effectExtent l="19050" t="0" r="1905" b="0"/>
            <wp:docPr id="73" name="图片 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 descr="02"/>
                    <pic:cNvPicPr>
                      <a:picLocks noChangeAspect="1" noChangeArrowheads="1"/>
                    </pic:cNvPicPr>
                  </pic:nvPicPr>
                  <pic:blipFill>
                    <a:blip r:embed="rId89" cstate="print"/>
                    <a:srcRect/>
                    <a:stretch>
                      <a:fillRect/>
                    </a:stretch>
                  </pic:blipFill>
                  <pic:spPr>
                    <a:xfrm>
                      <a:off x="0" y="0"/>
                      <a:ext cx="2074545" cy="1883410"/>
                    </a:xfrm>
                    <a:prstGeom prst="rect">
                      <a:avLst/>
                    </a:prstGeom>
                    <a:noFill/>
                    <a:ln w="9525">
                      <a:noFill/>
                      <a:miter lim="800000"/>
                      <a:headEnd/>
                      <a:tailEnd/>
                    </a:ln>
                    <a:effectLst/>
                  </pic:spPr>
                </pic:pic>
              </a:graphicData>
            </a:graphic>
          </wp:inline>
        </w:drawing>
      </w:r>
    </w:p>
    <w:p>
      <w:pPr>
        <w:pStyle w:val="7"/>
        <w:spacing w:line="360" w:lineRule="auto"/>
        <w:ind w:firstLine="527" w:firstLineChars="250"/>
        <w:jc w:val="center"/>
        <w:rPr>
          <w:b/>
          <w:color w:val="auto"/>
          <w:szCs w:val="21"/>
        </w:rPr>
      </w:pPr>
      <w:r>
        <w:rPr>
          <w:rFonts w:hint="eastAsia"/>
          <w:b/>
          <w:color w:val="auto"/>
          <w:szCs w:val="21"/>
        </w:rPr>
        <w:t>图</w:t>
      </w:r>
      <w:r>
        <w:rPr>
          <w:b/>
          <w:color w:val="auto"/>
          <w:szCs w:val="21"/>
        </w:rPr>
        <w:t xml:space="preserve">1  </w:t>
      </w:r>
      <w:r>
        <w:rPr>
          <w:rFonts w:hint="eastAsia"/>
          <w:b/>
          <w:color w:val="auto"/>
          <w:szCs w:val="21"/>
        </w:rPr>
        <w:t>电位系数计算图</w:t>
      </w:r>
      <w:r>
        <w:rPr>
          <w:b/>
          <w:color w:val="auto"/>
          <w:szCs w:val="21"/>
        </w:rPr>
        <w:t xml:space="preserve">                        </w:t>
      </w:r>
      <w:r>
        <w:rPr>
          <w:rFonts w:hint="eastAsia"/>
          <w:b/>
          <w:color w:val="auto"/>
          <w:szCs w:val="21"/>
        </w:rPr>
        <w:t>图</w:t>
      </w:r>
      <w:r>
        <w:rPr>
          <w:b/>
          <w:color w:val="auto"/>
          <w:szCs w:val="21"/>
        </w:rPr>
        <w:t xml:space="preserve">2  </w:t>
      </w:r>
      <w:r>
        <w:rPr>
          <w:rFonts w:hint="eastAsia"/>
          <w:b/>
          <w:color w:val="auto"/>
          <w:szCs w:val="21"/>
        </w:rPr>
        <w:t>等效半径计算图</w:t>
      </w:r>
    </w:p>
    <w:p>
      <w:pPr>
        <w:pStyle w:val="315"/>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对于三相交流线路，由于电压为时间向量，计算各相导线的电压时要用复数表示：</w:t>
      </w:r>
    </w:p>
    <w:p>
      <w:pPr>
        <w:pStyle w:val="257"/>
        <w:spacing w:line="360" w:lineRule="auto"/>
        <w:ind w:firstLine="480"/>
        <w:jc w:val="left"/>
        <w:rPr>
          <w:rStyle w:val="203"/>
          <w:rFonts w:ascii="Times New Roman" w:eastAsia="宋体" w:cs="Times New Roman"/>
          <w:color w:val="auto"/>
          <w:szCs w:val="24"/>
        </w:rPr>
      </w:pPr>
      <w:r>
        <w:rPr>
          <w:rFonts w:ascii="Times New Roman" w:eastAsia="宋体" w:cs="Times New Roman"/>
          <w:color w:val="auto"/>
          <w:position w:val="-12"/>
          <w:szCs w:val="24"/>
        </w:rPr>
        <w:object>
          <v:shape id="_x0000_i1061" o:spt="75" type="#_x0000_t75" style="height:24.4pt;width:91.4pt;" o:ole="t" filled="f" o:preferrelative="t" stroked="f" coordsize="21600,21600">
            <v:path/>
            <v:fill on="f" focussize="0,0"/>
            <v:stroke on="f" joinstyle="miter"/>
            <v:imagedata r:id="rId91" o:title=""/>
            <o:lock v:ext="edit" aspectratio="t"/>
            <w10:wrap type="none"/>
            <w10:anchorlock/>
          </v:shape>
          <o:OLEObject Type="Embed" ProgID="Equation.3" ShapeID="_x0000_i1061" DrawAspect="Content" ObjectID="_1468075761" r:id="rId90">
            <o:LockedField>false</o:LockedField>
          </o:OLEObject>
        </w:object>
      </w:r>
      <w:r>
        <w:rPr>
          <w:rStyle w:val="203"/>
          <w:rFonts w:ascii="Times New Roman" w:eastAsia="宋体" w:cs="Times New Roman"/>
          <w:color w:val="auto"/>
          <w:szCs w:val="24"/>
        </w:rPr>
        <w:t xml:space="preserve"> </w:t>
      </w:r>
      <w:r>
        <w:rPr>
          <w:rFonts w:ascii="Times New Roman" w:eastAsia="宋体" w:cs="Times New Roman"/>
          <w:color w:val="auto"/>
          <w:szCs w:val="24"/>
        </w:rPr>
        <w:t xml:space="preserve">                                           </w:t>
      </w:r>
      <w:r>
        <w:rPr>
          <w:rStyle w:val="203"/>
          <w:rFonts w:hint="eastAsia" w:ascii="Times New Roman" w:eastAsia="宋体" w:cs="Times New Roman"/>
          <w:color w:val="auto"/>
          <w:szCs w:val="24"/>
        </w:rPr>
        <w:t>（公式</w:t>
      </w:r>
      <w:r>
        <w:rPr>
          <w:rStyle w:val="203"/>
          <w:rFonts w:ascii="Times New Roman" w:eastAsia="宋体" w:cs="Times New Roman"/>
          <w:color w:val="auto"/>
          <w:szCs w:val="24"/>
        </w:rPr>
        <w:t>5</w:t>
      </w:r>
      <w:r>
        <w:rPr>
          <w:rStyle w:val="203"/>
          <w:rFonts w:hint="eastAsia" w:ascii="Times New Roman" w:eastAsia="宋体" w:cs="Times New Roman"/>
          <w:color w:val="auto"/>
          <w:szCs w:val="24"/>
        </w:rPr>
        <w:t>）</w:t>
      </w:r>
    </w:p>
    <w:p>
      <w:pPr>
        <w:pStyle w:val="315"/>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相应地电荷也是复数量：</w:t>
      </w:r>
    </w:p>
    <w:p>
      <w:pPr>
        <w:pStyle w:val="257"/>
        <w:spacing w:line="360" w:lineRule="auto"/>
        <w:ind w:firstLine="480"/>
        <w:rPr>
          <w:rStyle w:val="203"/>
          <w:rFonts w:ascii="Times New Roman" w:eastAsia="宋体" w:cs="Times New Roman"/>
          <w:color w:val="auto"/>
          <w:szCs w:val="24"/>
        </w:rPr>
      </w:pPr>
      <w:r>
        <w:rPr>
          <w:rFonts w:ascii="Times New Roman" w:eastAsia="宋体" w:cs="Times New Roman"/>
          <w:color w:val="auto"/>
          <w:position w:val="-12"/>
          <w:szCs w:val="24"/>
        </w:rPr>
        <w:object>
          <v:shape id="_x0000_i1062" o:spt="75" type="#_x0000_t75" style="height:22.55pt;width:87.05pt;" o:ole="t" filled="f" o:preferrelative="t" stroked="f" coordsize="21600,21600">
            <v:path/>
            <v:fill on="f" focussize="0,0"/>
            <v:stroke on="f" joinstyle="miter"/>
            <v:imagedata r:id="rId93" o:title=""/>
            <o:lock v:ext="edit" aspectratio="t"/>
            <w10:wrap type="none"/>
            <w10:anchorlock/>
          </v:shape>
          <o:OLEObject Type="Embed" ProgID="Equation.3" ShapeID="_x0000_i1062" DrawAspect="Content" ObjectID="_1468075762" r:id="rId92">
            <o:LockedField>false</o:LockedField>
          </o:OLEObject>
        </w:object>
      </w:r>
      <w:r>
        <w:rPr>
          <w:rStyle w:val="203"/>
          <w:rFonts w:ascii="Times New Roman" w:eastAsia="宋体" w:cs="Times New Roman"/>
          <w:color w:val="auto"/>
          <w:szCs w:val="24"/>
        </w:rPr>
        <w:t xml:space="preserve"> </w:t>
      </w:r>
      <w:r>
        <w:rPr>
          <w:rFonts w:ascii="Times New Roman" w:eastAsia="宋体" w:cs="Times New Roman"/>
          <w:color w:val="auto"/>
          <w:position w:val="-10"/>
          <w:szCs w:val="24"/>
        </w:rPr>
        <w:object>
          <v:shape id="_x0000_i1063" o:spt="75" type="#_x0000_t75" style="height:16.9pt;width:10.65pt;" o:ole="t" filled="f" o:preferrelative="t" stroked="f" coordsize="21600,21600">
            <v:path/>
            <v:fill on="f" focussize="0,0"/>
            <v:stroke on="f" joinstyle="miter"/>
            <v:imagedata r:id="rId95" o:title=""/>
            <o:lock v:ext="edit" aspectratio="t"/>
            <w10:wrap type="none"/>
            <w10:anchorlock/>
          </v:shape>
          <o:OLEObject Type="Embed" ProgID="Equation.3" ShapeID="_x0000_i1063" DrawAspect="Content" ObjectID="_1468075763" r:id="rId94">
            <o:LockedField>false</o:LockedField>
          </o:OLEObject>
        </w:object>
      </w:r>
      <w:r>
        <w:rPr>
          <w:rFonts w:ascii="Times New Roman" w:eastAsia="宋体" w:cs="Times New Roman"/>
          <w:color w:val="auto"/>
          <w:szCs w:val="24"/>
        </w:rPr>
        <w:t xml:space="preserve">                                          </w:t>
      </w:r>
      <w:r>
        <w:rPr>
          <w:rStyle w:val="203"/>
          <w:rFonts w:hint="eastAsia" w:ascii="Times New Roman" w:eastAsia="宋体" w:cs="Times New Roman"/>
          <w:color w:val="auto"/>
          <w:szCs w:val="24"/>
        </w:rPr>
        <w:t>（公式</w:t>
      </w:r>
      <w:r>
        <w:rPr>
          <w:rStyle w:val="203"/>
          <w:rFonts w:ascii="Times New Roman" w:eastAsia="宋体" w:cs="Times New Roman"/>
          <w:color w:val="auto"/>
          <w:szCs w:val="24"/>
        </w:rPr>
        <w:t>6</w:t>
      </w:r>
      <w:r>
        <w:rPr>
          <w:rFonts w:hint="eastAsia" w:ascii="Times New Roman" w:eastAsia="宋体" w:cs="Times New Roman"/>
          <w:color w:val="auto"/>
          <w:szCs w:val="24"/>
          <w:lang w:val="el-GR"/>
        </w:rPr>
        <w:t>）</w:t>
      </w:r>
    </w:p>
    <w:p>
      <w:pPr>
        <w:pStyle w:val="315"/>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为计算地面工频电场强度的最大值，通常取设计最大弧垂时导线的最小对地高度。</w:t>
      </w:r>
    </w:p>
    <w:p>
      <w:pPr>
        <w:pStyle w:val="315"/>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当各导线单位长度的等效电荷量求出后，空间任意一点的工频电场强度可根据叠加原理计算得出，在（</w:t>
      </w:r>
      <w:r>
        <w:rPr>
          <w:rFonts w:ascii="Times New Roman" w:hAnsi="Times New Roman" w:eastAsia="宋体" w:cs="Times New Roman"/>
          <w:i/>
          <w:color w:val="auto"/>
          <w:szCs w:val="24"/>
        </w:rPr>
        <w:t>x</w:t>
      </w:r>
      <w:r>
        <w:rPr>
          <w:rFonts w:hint="eastAsia" w:ascii="Times New Roman" w:hAnsi="Times New Roman" w:eastAsia="宋体" w:cs="Times New Roman"/>
          <w:i/>
          <w:color w:val="auto"/>
          <w:szCs w:val="24"/>
        </w:rPr>
        <w:t>，</w:t>
      </w:r>
      <w:r>
        <w:rPr>
          <w:rFonts w:ascii="Times New Roman" w:hAnsi="Times New Roman" w:eastAsia="宋体" w:cs="Times New Roman"/>
          <w:i/>
          <w:color w:val="auto"/>
          <w:szCs w:val="24"/>
        </w:rPr>
        <w:t>y</w:t>
      </w:r>
      <w:r>
        <w:rPr>
          <w:rFonts w:hint="eastAsia" w:ascii="Times New Roman" w:hAnsi="Times New Roman" w:eastAsia="宋体" w:cs="Times New Roman"/>
          <w:color w:val="auto"/>
          <w:szCs w:val="24"/>
        </w:rPr>
        <w:t>）点的工频电场强度分量</w:t>
      </w:r>
      <w:r>
        <w:rPr>
          <w:rFonts w:ascii="Times New Roman" w:hAnsi="Times New Roman" w:eastAsia="宋体" w:cs="Times New Roman"/>
          <w:i/>
          <w:color w:val="auto"/>
          <w:szCs w:val="24"/>
        </w:rPr>
        <w:t>E</w:t>
      </w:r>
      <w:r>
        <w:rPr>
          <w:rFonts w:ascii="Times New Roman" w:hAnsi="Times New Roman" w:eastAsia="宋体" w:cs="Times New Roman"/>
          <w:i/>
          <w:color w:val="auto"/>
          <w:szCs w:val="24"/>
          <w:vertAlign w:val="subscript"/>
        </w:rPr>
        <w:t>x</w:t>
      </w:r>
      <w:r>
        <w:rPr>
          <w:rFonts w:hint="eastAsia" w:ascii="Times New Roman" w:hAnsi="Times New Roman" w:eastAsia="宋体" w:cs="Times New Roman"/>
          <w:color w:val="auto"/>
          <w:szCs w:val="24"/>
        </w:rPr>
        <w:t>和</w:t>
      </w:r>
      <w:r>
        <w:rPr>
          <w:rFonts w:ascii="Times New Roman" w:hAnsi="Times New Roman" w:eastAsia="宋体" w:cs="Times New Roman"/>
          <w:i/>
          <w:color w:val="auto"/>
          <w:szCs w:val="24"/>
        </w:rPr>
        <w:t>E</w:t>
      </w:r>
      <w:r>
        <w:rPr>
          <w:rFonts w:ascii="Times New Roman" w:hAnsi="Times New Roman" w:eastAsia="宋体" w:cs="Times New Roman"/>
          <w:i/>
          <w:color w:val="auto"/>
          <w:szCs w:val="24"/>
          <w:vertAlign w:val="subscript"/>
        </w:rPr>
        <w:t>y</w:t>
      </w:r>
      <w:r>
        <w:rPr>
          <w:rFonts w:hint="eastAsia" w:ascii="Times New Roman" w:hAnsi="Times New Roman" w:eastAsia="宋体" w:cs="Times New Roman"/>
          <w:color w:val="auto"/>
          <w:szCs w:val="24"/>
        </w:rPr>
        <w:t>可表示为：</w:t>
      </w:r>
    </w:p>
    <w:p>
      <w:pPr>
        <w:pStyle w:val="257"/>
        <w:spacing w:line="360" w:lineRule="auto"/>
        <w:ind w:firstLine="480"/>
        <w:rPr>
          <w:rFonts w:ascii="Times New Roman" w:eastAsia="宋体" w:cs="Times New Roman"/>
          <w:color w:val="auto"/>
          <w:szCs w:val="24"/>
        </w:rPr>
      </w:pPr>
      <w:r>
        <w:rPr>
          <w:rFonts w:ascii="Times New Roman" w:eastAsia="宋体" w:cs="Times New Roman"/>
          <w:color w:val="auto"/>
          <w:position w:val="-38"/>
          <w:szCs w:val="24"/>
        </w:rPr>
        <w:object>
          <v:shape id="_x0000_i1064" o:spt="75" type="#_x0000_t75" style="height:47.6pt;width:181.55pt;" o:ole="t" filled="f" o:preferrelative="t" stroked="f" coordsize="21600,21600">
            <v:path/>
            <v:fill on="f" focussize="0,0"/>
            <v:stroke on="f" joinstyle="miter"/>
            <v:imagedata r:id="rId97" o:title=""/>
            <o:lock v:ext="edit" aspectratio="t"/>
            <w10:wrap type="none"/>
            <w10:anchorlock/>
          </v:shape>
          <o:OLEObject Type="Embed" ProgID="Equation.3" ShapeID="_x0000_i1064" DrawAspect="Content" ObjectID="_1468075764" r:id="rId96">
            <o:LockedField>false</o:LockedField>
          </o:OLEObject>
        </w:object>
      </w:r>
      <w:r>
        <w:rPr>
          <w:rFonts w:ascii="Times New Roman" w:eastAsia="宋体" w:cs="Times New Roman"/>
          <w:color w:val="auto"/>
          <w:szCs w:val="24"/>
        </w:rPr>
        <w:t xml:space="preserve">                             </w:t>
      </w:r>
      <w:r>
        <w:rPr>
          <w:rFonts w:hint="eastAsia" w:ascii="Times New Roman" w:eastAsia="宋体" w:cs="Times New Roman"/>
          <w:color w:val="auto"/>
          <w:szCs w:val="24"/>
        </w:rPr>
        <w:t>（</w:t>
      </w:r>
      <w:r>
        <w:rPr>
          <w:rStyle w:val="203"/>
          <w:rFonts w:hint="eastAsia" w:ascii="Times New Roman" w:eastAsia="宋体" w:cs="Times New Roman"/>
          <w:color w:val="auto"/>
          <w:szCs w:val="24"/>
        </w:rPr>
        <w:t>公式</w:t>
      </w:r>
      <w:r>
        <w:rPr>
          <w:rFonts w:ascii="Times New Roman" w:eastAsia="宋体" w:cs="Times New Roman"/>
          <w:color w:val="auto"/>
          <w:szCs w:val="24"/>
        </w:rPr>
        <w:t>7</w:t>
      </w:r>
      <w:r>
        <w:rPr>
          <w:rFonts w:hint="eastAsia" w:ascii="Times New Roman" w:eastAsia="宋体" w:cs="Times New Roman"/>
          <w:color w:val="auto"/>
          <w:szCs w:val="24"/>
        </w:rPr>
        <w:t>）</w:t>
      </w:r>
    </w:p>
    <w:p>
      <w:pPr>
        <w:pStyle w:val="257"/>
        <w:spacing w:line="360" w:lineRule="auto"/>
        <w:ind w:firstLine="480"/>
        <w:rPr>
          <w:rFonts w:ascii="Times New Roman" w:eastAsia="宋体" w:cs="Times New Roman"/>
          <w:color w:val="auto"/>
          <w:szCs w:val="24"/>
        </w:rPr>
      </w:pPr>
      <w:r>
        <w:rPr>
          <w:rFonts w:ascii="Times New Roman" w:eastAsia="宋体" w:cs="Times New Roman"/>
          <w:color w:val="auto"/>
          <w:position w:val="-30"/>
          <w:szCs w:val="24"/>
        </w:rPr>
        <w:object>
          <v:shape id="_x0000_i1065" o:spt="75" type="#_x0000_t75" style="height:39.45pt;width:191.6pt;" o:ole="t" filled="f" o:preferrelative="t" stroked="f" coordsize="21600,21600">
            <v:path/>
            <v:fill on="f" focussize="0,0"/>
            <v:stroke on="f" joinstyle="miter"/>
            <v:imagedata r:id="rId99" o:title=""/>
            <o:lock v:ext="edit" aspectratio="t"/>
            <w10:wrap type="none"/>
            <w10:anchorlock/>
          </v:shape>
          <o:OLEObject Type="Embed" ProgID="Equation.3" ShapeID="_x0000_i1065" DrawAspect="Content" ObjectID="_1468075765" r:id="rId98">
            <o:LockedField>false</o:LockedField>
          </o:OLEObject>
        </w:object>
      </w:r>
      <w:r>
        <w:rPr>
          <w:rFonts w:ascii="Times New Roman" w:eastAsia="宋体" w:cs="Times New Roman"/>
          <w:color w:val="auto"/>
          <w:szCs w:val="24"/>
        </w:rPr>
        <w:t xml:space="preserve">                           </w:t>
      </w:r>
      <w:r>
        <w:rPr>
          <w:rFonts w:hint="eastAsia" w:ascii="Times New Roman" w:eastAsia="宋体" w:cs="Times New Roman"/>
          <w:color w:val="auto"/>
          <w:szCs w:val="24"/>
        </w:rPr>
        <w:t>（</w:t>
      </w:r>
      <w:r>
        <w:rPr>
          <w:rStyle w:val="203"/>
          <w:rFonts w:hint="eastAsia" w:ascii="Times New Roman" w:eastAsia="宋体" w:cs="Times New Roman"/>
          <w:color w:val="auto"/>
          <w:szCs w:val="24"/>
        </w:rPr>
        <w:t>公式</w:t>
      </w:r>
      <w:r>
        <w:rPr>
          <w:rFonts w:ascii="Times New Roman" w:eastAsia="宋体" w:cs="Times New Roman"/>
          <w:color w:val="auto"/>
          <w:szCs w:val="24"/>
        </w:rPr>
        <w:t>8</w:t>
      </w:r>
      <w:r>
        <w:rPr>
          <w:rFonts w:hint="eastAsia" w:ascii="Times New Roman" w:eastAsia="宋体" w:cs="Times New Roman"/>
          <w:color w:val="auto"/>
          <w:szCs w:val="24"/>
        </w:rPr>
        <w:t>）</w:t>
      </w:r>
    </w:p>
    <w:p>
      <w:pPr>
        <w:pStyle w:val="315"/>
        <w:spacing w:line="360" w:lineRule="auto"/>
        <w:ind w:firstLine="0" w:firstLineChars="0"/>
        <w:rPr>
          <w:rFonts w:ascii="Times New Roman" w:hAnsi="Times New Roman" w:eastAsia="宋体" w:cs="Times New Roman"/>
          <w:color w:val="auto"/>
          <w:szCs w:val="24"/>
        </w:rPr>
      </w:pPr>
      <w:r>
        <w:rPr>
          <w:rFonts w:hint="eastAsia" w:ascii="Times New Roman" w:hAnsi="Times New Roman" w:eastAsia="宋体" w:cs="Times New Roman"/>
          <w:color w:val="auto"/>
          <w:szCs w:val="24"/>
        </w:rPr>
        <w:t>式中：</w:t>
      </w:r>
      <w:r>
        <w:rPr>
          <w:rFonts w:ascii="Times New Roman" w:hAnsi="Times New Roman" w:eastAsia="宋体" w:cs="Times New Roman"/>
          <w:i/>
          <w:color w:val="auto"/>
          <w:szCs w:val="24"/>
        </w:rPr>
        <w:t>x</w:t>
      </w:r>
      <w:r>
        <w:rPr>
          <w:rFonts w:ascii="Times New Roman" w:hAnsi="Times New Roman" w:eastAsia="宋体" w:cs="Times New Roman"/>
          <w:i/>
          <w:color w:val="auto"/>
          <w:szCs w:val="24"/>
          <w:vertAlign w:val="subscript"/>
        </w:rPr>
        <w:t>i</w:t>
      </w:r>
      <w:r>
        <w:rPr>
          <w:rFonts w:hint="eastAsia" w:ascii="Times New Roman" w:hAnsi="Times New Roman" w:eastAsia="宋体" w:cs="Times New Roman"/>
          <w:i/>
          <w:color w:val="auto"/>
          <w:szCs w:val="24"/>
        </w:rPr>
        <w:t>，</w:t>
      </w:r>
      <w:r>
        <w:rPr>
          <w:rFonts w:ascii="Times New Roman" w:hAnsi="Times New Roman" w:eastAsia="宋体" w:cs="Times New Roman"/>
          <w:i/>
          <w:color w:val="auto"/>
          <w:szCs w:val="24"/>
        </w:rPr>
        <w:t xml:space="preserve"> y</w:t>
      </w:r>
      <w:r>
        <w:rPr>
          <w:rFonts w:ascii="Times New Roman" w:hAnsi="Times New Roman" w:eastAsia="宋体" w:cs="Times New Roman"/>
          <w:i/>
          <w:color w:val="auto"/>
          <w:szCs w:val="24"/>
          <w:vertAlign w:val="subscript"/>
        </w:rPr>
        <w:t xml:space="preserve">i </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导线</w:t>
      </w:r>
      <w:r>
        <w:rPr>
          <w:rFonts w:ascii="Times New Roman" w:hAnsi="Times New Roman" w:eastAsia="宋体" w:cs="Times New Roman"/>
          <w:i/>
          <w:color w:val="auto"/>
          <w:szCs w:val="24"/>
        </w:rPr>
        <w:t>i</w:t>
      </w:r>
      <w:r>
        <w:rPr>
          <w:rFonts w:hint="eastAsia" w:ascii="Times New Roman" w:hAnsi="Times New Roman" w:eastAsia="宋体" w:cs="Times New Roman"/>
          <w:color w:val="auto"/>
          <w:szCs w:val="24"/>
        </w:rPr>
        <w:t>的坐标（</w:t>
      </w:r>
      <w:r>
        <w:rPr>
          <w:rFonts w:ascii="Times New Roman" w:hAnsi="Times New Roman" w:eastAsia="宋体" w:cs="Times New Roman"/>
          <w:i/>
          <w:color w:val="auto"/>
          <w:szCs w:val="24"/>
        </w:rPr>
        <w:t>i</w:t>
      </w:r>
      <w:r>
        <w:rPr>
          <w:rFonts w:ascii="Times New Roman" w:hAnsi="Times New Roman" w:eastAsia="宋体" w:cs="Times New Roman"/>
          <w:color w:val="auto"/>
          <w:szCs w:val="24"/>
        </w:rPr>
        <w:t>=1</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2</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…m</w:t>
      </w:r>
      <w:r>
        <w:rPr>
          <w:rFonts w:hint="eastAsia" w:ascii="Times New Roman" w:hAnsi="Times New Roman" w:eastAsia="宋体" w:cs="Times New Roman"/>
          <w:color w:val="auto"/>
          <w:szCs w:val="24"/>
        </w:rPr>
        <w:t>）；</w:t>
      </w:r>
    </w:p>
    <w:p>
      <w:pPr>
        <w:pStyle w:val="315"/>
        <w:spacing w:line="360" w:lineRule="auto"/>
        <w:ind w:firstLine="667" w:firstLineChars="278"/>
        <w:rPr>
          <w:rFonts w:ascii="Times New Roman" w:hAnsi="Times New Roman" w:eastAsia="宋体" w:cs="Times New Roman"/>
          <w:color w:val="auto"/>
          <w:szCs w:val="24"/>
        </w:rPr>
      </w:pPr>
      <w:r>
        <w:rPr>
          <w:rFonts w:ascii="Times New Roman" w:hAnsi="Times New Roman" w:eastAsia="宋体" w:cs="Times New Roman"/>
          <w:i/>
          <w:color w:val="auto"/>
          <w:szCs w:val="24"/>
        </w:rPr>
        <w:t xml:space="preserve">m </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导线数目；</w:t>
      </w:r>
    </w:p>
    <w:p>
      <w:pPr>
        <w:pStyle w:val="315"/>
        <w:spacing w:line="360" w:lineRule="auto"/>
        <w:ind w:firstLine="667" w:firstLineChars="278"/>
        <w:rPr>
          <w:rFonts w:ascii="Times New Roman" w:hAnsi="Times New Roman" w:eastAsia="宋体" w:cs="Times New Roman"/>
          <w:color w:val="auto"/>
          <w:szCs w:val="24"/>
        </w:rPr>
      </w:pPr>
      <w:r>
        <w:rPr>
          <w:rFonts w:ascii="Times New Roman" w:hAnsi="Times New Roman" w:eastAsia="宋体" w:cs="Times New Roman"/>
          <w:i/>
          <w:color w:val="auto"/>
          <w:szCs w:val="24"/>
        </w:rPr>
        <w:t>L</w:t>
      </w:r>
      <w:r>
        <w:rPr>
          <w:rFonts w:ascii="Times New Roman" w:hAnsi="Times New Roman" w:eastAsia="宋体" w:cs="Times New Roman"/>
          <w:i/>
          <w:color w:val="auto"/>
          <w:szCs w:val="24"/>
          <w:vertAlign w:val="subscript"/>
        </w:rPr>
        <w:t xml:space="preserve">i </w:t>
      </w:r>
      <w:r>
        <w:rPr>
          <w:rFonts w:hint="eastAsia" w:ascii="Times New Roman" w:hAnsi="Times New Roman" w:eastAsia="宋体" w:cs="Times New Roman"/>
          <w:i/>
          <w:color w:val="auto"/>
          <w:szCs w:val="24"/>
        </w:rPr>
        <w:t>，</w:t>
      </w:r>
      <w:r>
        <w:rPr>
          <w:rFonts w:ascii="Times New Roman" w:hAnsi="Times New Roman" w:eastAsia="宋体" w:cs="Times New Roman"/>
          <w:i/>
          <w:color w:val="auto"/>
          <w:szCs w:val="24"/>
        </w:rPr>
        <w:t>L'</w:t>
      </w:r>
      <w:r>
        <w:rPr>
          <w:rFonts w:ascii="Times New Roman" w:hAnsi="Times New Roman" w:eastAsia="宋体" w:cs="Times New Roman"/>
          <w:i/>
          <w:color w:val="auto"/>
          <w:szCs w:val="24"/>
          <w:vertAlign w:val="subscript"/>
        </w:rPr>
        <w:t xml:space="preserve">i </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分别为导线</w:t>
      </w:r>
      <w:r>
        <w:rPr>
          <w:rFonts w:ascii="Times New Roman" w:hAnsi="Times New Roman" w:eastAsia="宋体" w:cs="Times New Roman"/>
          <w:i/>
          <w:color w:val="auto"/>
          <w:szCs w:val="24"/>
        </w:rPr>
        <w:t>i</w:t>
      </w:r>
      <w:r>
        <w:rPr>
          <w:rFonts w:hint="eastAsia" w:ascii="Times New Roman" w:hAnsi="Times New Roman" w:eastAsia="宋体" w:cs="Times New Roman"/>
          <w:color w:val="auto"/>
          <w:szCs w:val="24"/>
        </w:rPr>
        <w:t>及其镜像至计算点的距离，</w:t>
      </w:r>
      <w:r>
        <w:rPr>
          <w:rFonts w:ascii="Times New Roman" w:hAnsi="Times New Roman" w:eastAsia="宋体" w:cs="Times New Roman"/>
          <w:color w:val="auto"/>
          <w:szCs w:val="24"/>
        </w:rPr>
        <w:t>m</w:t>
      </w:r>
      <w:r>
        <w:rPr>
          <w:rFonts w:hint="eastAsia" w:ascii="Times New Roman" w:hAnsi="Times New Roman" w:eastAsia="宋体" w:cs="Times New Roman"/>
          <w:color w:val="auto"/>
          <w:szCs w:val="24"/>
        </w:rPr>
        <w:t>。</w:t>
      </w:r>
    </w:p>
    <w:p>
      <w:pPr>
        <w:pStyle w:val="315"/>
        <w:spacing w:before="120"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对于三相交流线路，可根据式（</w:t>
      </w:r>
      <w:r>
        <w:rPr>
          <w:rFonts w:ascii="Times New Roman" w:hAnsi="Times New Roman" w:eastAsia="宋体" w:cs="Times New Roman"/>
          <w:color w:val="auto"/>
          <w:szCs w:val="24"/>
        </w:rPr>
        <w:t>7</w:t>
      </w:r>
      <w:r>
        <w:rPr>
          <w:rFonts w:hint="eastAsia" w:ascii="Times New Roman" w:hAnsi="Times New Roman" w:eastAsia="宋体" w:cs="Times New Roman"/>
          <w:color w:val="auto"/>
          <w:szCs w:val="24"/>
        </w:rPr>
        <w:t>）和（</w:t>
      </w:r>
      <w:r>
        <w:rPr>
          <w:rFonts w:ascii="Times New Roman" w:hAnsi="Times New Roman" w:eastAsia="宋体" w:cs="Times New Roman"/>
          <w:color w:val="auto"/>
          <w:szCs w:val="24"/>
        </w:rPr>
        <w:t>8</w:t>
      </w:r>
      <w:r>
        <w:rPr>
          <w:rFonts w:hint="eastAsia" w:ascii="Times New Roman" w:hAnsi="Times New Roman" w:eastAsia="宋体" w:cs="Times New Roman"/>
          <w:color w:val="auto"/>
          <w:szCs w:val="24"/>
        </w:rPr>
        <w:t>）求得的电荷计算空间任一点工频电场强度的水平和垂直分量为：</w:t>
      </w:r>
    </w:p>
    <w:p>
      <w:pPr>
        <w:pStyle w:val="204"/>
        <w:spacing w:line="360" w:lineRule="auto"/>
        <w:ind w:firstLine="480"/>
        <w:rPr>
          <w:rFonts w:ascii="Times New Roman" w:hAnsi="Times New Roman" w:eastAsia="宋体" w:cs="Times New Roman"/>
          <w:color w:val="auto"/>
          <w:szCs w:val="24"/>
        </w:rPr>
      </w:pPr>
      <w:r>
        <w:rPr>
          <w:rFonts w:ascii="Times New Roman" w:hAnsi="Times New Roman" w:eastAsia="宋体" w:cs="Times New Roman"/>
          <w:color w:val="auto"/>
          <w:position w:val="-28"/>
          <w:szCs w:val="24"/>
        </w:rPr>
        <w:object>
          <v:shape id="_x0000_i1066" o:spt="75" type="#_x0000_t75" style="height:34.45pt;width:113.95pt;" o:ole="t" filled="f" o:preferrelative="t" stroked="f" coordsize="21600,21600">
            <v:path/>
            <v:fill on="f" focussize="0,0"/>
            <v:stroke on="f" joinstyle="miter"/>
            <v:imagedata r:id="rId101" o:title=""/>
            <o:lock v:ext="edit" aspectratio="t"/>
            <w10:wrap type="none"/>
            <w10:anchorlock/>
          </v:shape>
          <o:OLEObject Type="Embed" ProgID="Equation.3" ShapeID="_x0000_i1066" DrawAspect="Content" ObjectID="_1468075766" r:id="rId100">
            <o:LockedField>false</o:LockedField>
          </o:OLEObject>
        </w:object>
      </w:r>
      <w:r>
        <w:rPr>
          <w:rFonts w:ascii="Times New Roman" w:hAnsi="Times New Roman" w:eastAsia="宋体" w:cs="Times New Roman"/>
          <w:color w:val="auto"/>
          <w:szCs w:val="24"/>
        </w:rPr>
        <w:t xml:space="preserve">= </w:t>
      </w:r>
      <w:r>
        <w:rPr>
          <w:rFonts w:ascii="Times New Roman" w:hAnsi="Times New Roman" w:eastAsia="宋体" w:cs="Times New Roman"/>
          <w:color w:val="auto"/>
          <w:position w:val="-12"/>
          <w:szCs w:val="24"/>
        </w:rPr>
        <w:object>
          <v:shape id="_x0000_i1067" o:spt="75" type="#_x0000_t75" style="height:16.9pt;width:52.6pt;" o:ole="t" filled="f" o:preferrelative="t" stroked="f" coordsize="21600,21600">
            <v:path/>
            <v:fill on="f" focussize="0,0"/>
            <v:stroke on="f" joinstyle="miter"/>
            <v:imagedata r:id="rId103" o:title=""/>
            <o:lock v:ext="edit" aspectratio="t"/>
            <w10:wrap type="none"/>
            <w10:anchorlock/>
          </v:shape>
          <o:OLEObject Type="Embed" ProgID="Equation.3" ShapeID="_x0000_i1067" DrawAspect="Content" ObjectID="_1468075767" r:id="rId102">
            <o:LockedField>false</o:LockedField>
          </o:OLEObject>
        </w:object>
      </w:r>
      <w:r>
        <w:rPr>
          <w:rFonts w:ascii="Times New Roman" w:hAnsi="Times New Roman" w:eastAsia="宋体" w:cs="Times New Roman"/>
          <w:color w:val="auto"/>
          <w:szCs w:val="24"/>
        </w:rPr>
        <w:t xml:space="preserve">                             </w:t>
      </w:r>
      <w:r>
        <w:rPr>
          <w:rFonts w:hint="eastAsia" w:ascii="Times New Roman" w:hAnsi="Times New Roman" w:eastAsia="宋体" w:cs="Times New Roman"/>
          <w:color w:val="auto"/>
          <w:szCs w:val="24"/>
        </w:rPr>
        <w:t>（</w:t>
      </w:r>
      <w:r>
        <w:rPr>
          <w:rStyle w:val="203"/>
          <w:rFonts w:hint="eastAsia" w:ascii="Times New Roman" w:hAnsi="Times New Roman" w:eastAsia="宋体" w:cs="Times New Roman"/>
          <w:color w:val="auto"/>
          <w:szCs w:val="24"/>
        </w:rPr>
        <w:t>公式</w:t>
      </w:r>
      <w:r>
        <w:rPr>
          <w:rFonts w:ascii="Times New Roman" w:hAnsi="Times New Roman" w:eastAsia="宋体" w:cs="Times New Roman"/>
          <w:color w:val="auto"/>
          <w:szCs w:val="24"/>
        </w:rPr>
        <w:t>9</w:t>
      </w:r>
      <w:r>
        <w:rPr>
          <w:rFonts w:hint="eastAsia" w:ascii="Times New Roman" w:hAnsi="Times New Roman" w:eastAsia="宋体" w:cs="Times New Roman"/>
          <w:color w:val="auto"/>
          <w:szCs w:val="24"/>
        </w:rPr>
        <w:t>）</w:t>
      </w:r>
    </w:p>
    <w:p>
      <w:pPr>
        <w:pStyle w:val="204"/>
        <w:spacing w:line="360" w:lineRule="auto"/>
        <w:ind w:firstLine="480"/>
        <w:rPr>
          <w:rFonts w:ascii="Times New Roman" w:hAnsi="Times New Roman" w:eastAsia="宋体" w:cs="Times New Roman"/>
          <w:color w:val="auto"/>
          <w:szCs w:val="24"/>
        </w:rPr>
      </w:pPr>
      <w:r>
        <w:rPr>
          <w:rFonts w:ascii="Times New Roman" w:hAnsi="Times New Roman" w:eastAsia="宋体" w:cs="Times New Roman"/>
          <w:color w:val="auto"/>
          <w:position w:val="-28"/>
          <w:szCs w:val="24"/>
        </w:rPr>
        <w:object>
          <v:shape id="_x0000_i1068" o:spt="75" type="#_x0000_t75" style="height:34.45pt;width:113.95pt;" o:ole="t" filled="f" o:preferrelative="t" stroked="f" coordsize="21600,21600">
            <v:path/>
            <v:fill on="f" focussize="0,0"/>
            <v:stroke on="f" joinstyle="miter"/>
            <v:imagedata r:id="rId105" o:title=""/>
            <o:lock v:ext="edit" aspectratio="t"/>
            <w10:wrap type="none"/>
            <w10:anchorlock/>
          </v:shape>
          <o:OLEObject Type="Embed" ProgID="Equation.3" ShapeID="_x0000_i1068" DrawAspect="Content" ObjectID="_1468075768" r:id="rId104">
            <o:LockedField>false</o:LockedField>
          </o:OLEObject>
        </w:object>
      </w:r>
      <w:r>
        <w:rPr>
          <w:rFonts w:ascii="Times New Roman" w:hAnsi="Times New Roman" w:eastAsia="宋体" w:cs="Times New Roman"/>
          <w:color w:val="auto"/>
          <w:szCs w:val="24"/>
        </w:rPr>
        <w:t xml:space="preserve">= </w:t>
      </w:r>
      <w:r>
        <w:rPr>
          <w:rFonts w:ascii="Times New Roman" w:hAnsi="Times New Roman" w:eastAsia="宋体" w:cs="Times New Roman"/>
          <w:color w:val="auto"/>
          <w:position w:val="-14"/>
          <w:szCs w:val="24"/>
        </w:rPr>
        <w:object>
          <v:shape id="_x0000_i1069" o:spt="75" type="#_x0000_t75" style="height:19.4pt;width:55.1pt;" o:ole="t" filled="f" o:preferrelative="t" stroked="f" coordsize="21600,21600">
            <v:path/>
            <v:fill on="f" focussize="0,0"/>
            <v:stroke on="f" joinstyle="miter"/>
            <v:imagedata r:id="rId107" o:title=""/>
            <o:lock v:ext="edit" aspectratio="t"/>
            <w10:wrap type="none"/>
            <w10:anchorlock/>
          </v:shape>
          <o:OLEObject Type="Embed" ProgID="Equation.3" ShapeID="_x0000_i1069" DrawAspect="Content" ObjectID="_1468075769" r:id="rId106">
            <o:LockedField>false</o:LockedField>
          </o:OLEObject>
        </w:object>
      </w:r>
      <w:r>
        <w:rPr>
          <w:rFonts w:ascii="Times New Roman" w:hAnsi="Times New Roman" w:eastAsia="宋体" w:cs="Times New Roman"/>
          <w:color w:val="auto"/>
          <w:position w:val="-14"/>
          <w:szCs w:val="24"/>
        </w:rPr>
        <w:t xml:space="preserve">                            </w:t>
      </w:r>
      <w:r>
        <w:rPr>
          <w:rFonts w:hint="eastAsia" w:ascii="Times New Roman" w:hAnsi="Times New Roman" w:eastAsia="宋体" w:cs="Times New Roman"/>
          <w:color w:val="auto"/>
          <w:szCs w:val="24"/>
        </w:rPr>
        <w:t>（</w:t>
      </w:r>
      <w:r>
        <w:rPr>
          <w:rStyle w:val="203"/>
          <w:rFonts w:hint="eastAsia" w:ascii="Times New Roman" w:hAnsi="Times New Roman" w:eastAsia="宋体" w:cs="Times New Roman"/>
          <w:color w:val="auto"/>
          <w:szCs w:val="24"/>
        </w:rPr>
        <w:t>公式</w:t>
      </w:r>
      <w:r>
        <w:rPr>
          <w:rFonts w:ascii="Times New Roman" w:hAnsi="Times New Roman" w:eastAsia="宋体" w:cs="Times New Roman"/>
          <w:color w:val="auto"/>
          <w:szCs w:val="24"/>
        </w:rPr>
        <w:t>10</w:t>
      </w:r>
      <w:r>
        <w:rPr>
          <w:rFonts w:hint="eastAsia" w:ascii="Times New Roman" w:hAnsi="Times New Roman" w:eastAsia="宋体" w:cs="Times New Roman"/>
          <w:color w:val="auto"/>
          <w:szCs w:val="24"/>
        </w:rPr>
        <w:t>）</w:t>
      </w:r>
    </w:p>
    <w:p>
      <w:pPr>
        <w:pStyle w:val="204"/>
        <w:spacing w:line="360" w:lineRule="auto"/>
        <w:ind w:firstLine="0" w:firstLineChars="0"/>
        <w:rPr>
          <w:rFonts w:ascii="Times New Roman" w:hAnsi="Times New Roman" w:eastAsia="宋体" w:cs="Times New Roman"/>
          <w:color w:val="auto"/>
          <w:szCs w:val="24"/>
        </w:rPr>
      </w:pPr>
      <w:r>
        <w:rPr>
          <w:rFonts w:hint="eastAsia" w:ascii="Times New Roman" w:hAnsi="Times New Roman" w:eastAsia="宋体" w:cs="Times New Roman"/>
          <w:color w:val="auto"/>
          <w:szCs w:val="24"/>
        </w:rPr>
        <w:t>式中：</w:t>
      </w:r>
      <w:r>
        <w:rPr>
          <w:rFonts w:ascii="Times New Roman" w:hAnsi="Times New Roman" w:eastAsia="宋体" w:cs="Times New Roman"/>
          <w:color w:val="auto"/>
          <w:position w:val="-12"/>
          <w:szCs w:val="24"/>
        </w:rPr>
        <w:object>
          <v:shape id="_x0000_i1070" o:spt="75" type="#_x0000_t75" style="height:16.9pt;width:19.4pt;" o:ole="t" filled="f" o:preferrelative="t" stroked="f" coordsize="21600,21600">
            <v:path/>
            <v:fill on="f" focussize="0,0"/>
            <v:stroke on="f" joinstyle="miter"/>
            <v:imagedata r:id="rId109" o:title=""/>
            <o:lock v:ext="edit" aspectratio="t"/>
            <w10:wrap type="none"/>
            <w10:anchorlock/>
          </v:shape>
          <o:OLEObject Type="Embed" ProgID="Equation.3" ShapeID="_x0000_i1070" DrawAspect="Content" ObjectID="_1468075770" r:id="rId108">
            <o:LockedField>false</o:LockedField>
          </o:OLEObject>
        </w:object>
      </w:r>
      <w:r>
        <w:rPr>
          <w:rFonts w:ascii="Times New Roman" w:hAnsi="Times New Roman" w:eastAsia="宋体" w:cs="Times New Roman"/>
          <w:color w:val="auto"/>
          <w:szCs w:val="24"/>
          <w:vertAlign w:val="subscript"/>
        </w:rPr>
        <w:t>————</w:t>
      </w:r>
      <w:r>
        <w:rPr>
          <w:rFonts w:hint="eastAsia" w:ascii="Times New Roman" w:hAnsi="Times New Roman" w:eastAsia="宋体" w:cs="Times New Roman"/>
          <w:color w:val="auto"/>
          <w:szCs w:val="24"/>
        </w:rPr>
        <w:t>由各导线的实部电荷在该点产生场强的水平分量；</w:t>
      </w:r>
    </w:p>
    <w:p>
      <w:pPr>
        <w:pStyle w:val="204"/>
        <w:spacing w:line="360" w:lineRule="auto"/>
        <w:ind w:firstLine="698" w:firstLineChars="291"/>
        <w:rPr>
          <w:rFonts w:ascii="Times New Roman" w:hAnsi="Times New Roman" w:eastAsia="宋体" w:cs="Times New Roman"/>
          <w:color w:val="auto"/>
          <w:szCs w:val="24"/>
        </w:rPr>
      </w:pPr>
      <w:r>
        <w:rPr>
          <w:rFonts w:ascii="Times New Roman" w:hAnsi="Times New Roman" w:eastAsia="宋体" w:cs="Times New Roman"/>
          <w:color w:val="auto"/>
          <w:position w:val="-12"/>
          <w:szCs w:val="24"/>
        </w:rPr>
        <w:object>
          <v:shape id="_x0000_i1071" o:spt="75" type="#_x0000_t75" style="height:16.9pt;width:19.4pt;" o:ole="t" filled="f" o:preferrelative="t" stroked="f" coordsize="21600,21600">
            <v:path/>
            <v:fill on="f" focussize="0,0"/>
            <v:stroke on="f" joinstyle="miter"/>
            <v:imagedata r:id="rId111" o:title=""/>
            <o:lock v:ext="edit" aspectratio="t"/>
            <w10:wrap type="none"/>
            <w10:anchorlock/>
          </v:shape>
          <o:OLEObject Type="Embed" ProgID="Equation.3" ShapeID="_x0000_i1071" DrawAspect="Content" ObjectID="_1468075771" r:id="rId110">
            <o:LockedField>false</o:LockedField>
          </o:OLEObject>
        </w:object>
      </w:r>
      <w:r>
        <w:rPr>
          <w:rFonts w:ascii="Times New Roman" w:hAnsi="Times New Roman" w:eastAsia="宋体" w:cs="Times New Roman"/>
          <w:color w:val="auto"/>
          <w:szCs w:val="24"/>
          <w:vertAlign w:val="subscript"/>
        </w:rPr>
        <w:t>————</w:t>
      </w:r>
      <w:r>
        <w:rPr>
          <w:rFonts w:hint="eastAsia" w:ascii="Times New Roman" w:hAnsi="Times New Roman" w:eastAsia="宋体" w:cs="Times New Roman"/>
          <w:color w:val="auto"/>
          <w:szCs w:val="24"/>
        </w:rPr>
        <w:t>由各导线的虚部电荷在该点产生场强的水平分量；</w:t>
      </w:r>
    </w:p>
    <w:p>
      <w:pPr>
        <w:pStyle w:val="204"/>
        <w:spacing w:line="360" w:lineRule="auto"/>
        <w:ind w:firstLine="698" w:firstLineChars="291"/>
        <w:rPr>
          <w:rFonts w:ascii="Times New Roman" w:hAnsi="Times New Roman" w:eastAsia="宋体" w:cs="Times New Roman"/>
          <w:color w:val="auto"/>
          <w:szCs w:val="24"/>
        </w:rPr>
      </w:pPr>
      <w:r>
        <w:rPr>
          <w:rFonts w:ascii="Times New Roman" w:hAnsi="Times New Roman" w:eastAsia="宋体" w:cs="Times New Roman"/>
          <w:color w:val="auto"/>
          <w:position w:val="-14"/>
          <w:szCs w:val="24"/>
        </w:rPr>
        <w:object>
          <v:shape id="_x0000_i1072" o:spt="75" type="#_x0000_t75" style="height:19.4pt;width:19.4pt;" o:ole="t" filled="f" o:preferrelative="t" stroked="f" coordsize="21600,21600">
            <v:path/>
            <v:fill on="f" focussize="0,0"/>
            <v:stroke on="f" joinstyle="miter"/>
            <v:imagedata r:id="rId113" o:title=""/>
            <o:lock v:ext="edit" aspectratio="t"/>
            <w10:wrap type="none"/>
            <w10:anchorlock/>
          </v:shape>
          <o:OLEObject Type="Embed" ProgID="Equation.3" ShapeID="_x0000_i1072" DrawAspect="Content" ObjectID="_1468075772" r:id="rId112">
            <o:LockedField>false</o:LockedField>
          </o:OLEObject>
        </w:object>
      </w:r>
      <w:r>
        <w:rPr>
          <w:rFonts w:ascii="Times New Roman" w:hAnsi="Times New Roman" w:eastAsia="宋体" w:cs="Times New Roman"/>
          <w:color w:val="auto"/>
          <w:szCs w:val="24"/>
          <w:vertAlign w:val="subscript"/>
        </w:rPr>
        <w:t>————</w:t>
      </w:r>
      <w:r>
        <w:rPr>
          <w:rFonts w:hint="eastAsia" w:ascii="Times New Roman" w:hAnsi="Times New Roman" w:eastAsia="宋体" w:cs="Times New Roman"/>
          <w:color w:val="auto"/>
          <w:szCs w:val="24"/>
        </w:rPr>
        <w:t>由各导线的实部电荷在该点产生场强的垂直分量；</w:t>
      </w:r>
    </w:p>
    <w:p>
      <w:pPr>
        <w:pStyle w:val="204"/>
        <w:spacing w:line="360" w:lineRule="auto"/>
        <w:ind w:firstLine="698" w:firstLineChars="291"/>
        <w:rPr>
          <w:rFonts w:ascii="Times New Roman" w:hAnsi="Times New Roman" w:eastAsia="宋体" w:cs="Times New Roman"/>
          <w:color w:val="auto"/>
          <w:szCs w:val="24"/>
        </w:rPr>
      </w:pPr>
      <w:r>
        <w:rPr>
          <w:rFonts w:ascii="Times New Roman" w:hAnsi="Times New Roman" w:eastAsia="宋体" w:cs="Times New Roman"/>
          <w:color w:val="auto"/>
          <w:position w:val="-14"/>
          <w:szCs w:val="24"/>
        </w:rPr>
        <w:object>
          <v:shape id="_x0000_i1073" o:spt="75" type="#_x0000_t75" style="height:19.4pt;width:19.4pt;" o:ole="t" filled="f" o:preferrelative="t" stroked="f" coordsize="21600,21600">
            <v:path/>
            <v:fill on="f" focussize="0,0"/>
            <v:stroke on="f" joinstyle="miter"/>
            <v:imagedata r:id="rId115" o:title=""/>
            <o:lock v:ext="edit" aspectratio="t"/>
            <w10:wrap type="none"/>
            <w10:anchorlock/>
          </v:shape>
          <o:OLEObject Type="Embed" ProgID="Equation.3" ShapeID="_x0000_i1073" DrawAspect="Content" ObjectID="_1468075773" r:id="rId114">
            <o:LockedField>false</o:LockedField>
          </o:OLEObject>
        </w:object>
      </w:r>
      <w:r>
        <w:rPr>
          <w:rFonts w:ascii="Times New Roman" w:hAnsi="Times New Roman" w:eastAsia="宋体" w:cs="Times New Roman"/>
          <w:color w:val="auto"/>
          <w:szCs w:val="24"/>
          <w:vertAlign w:val="subscript"/>
        </w:rPr>
        <w:t>————</w:t>
      </w:r>
      <w:r>
        <w:rPr>
          <w:rFonts w:hint="eastAsia" w:ascii="Times New Roman" w:hAnsi="Times New Roman" w:eastAsia="宋体" w:cs="Times New Roman"/>
          <w:color w:val="auto"/>
          <w:szCs w:val="24"/>
        </w:rPr>
        <w:t>由各导线的虚部电荷在该点产生场强的垂直分量。</w:t>
      </w:r>
    </w:p>
    <w:p>
      <w:pPr>
        <w:pStyle w:val="315"/>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该点的合成的工频电场强度则为：</w:t>
      </w:r>
    </w:p>
    <w:p>
      <w:pPr>
        <w:pStyle w:val="257"/>
        <w:spacing w:line="360" w:lineRule="auto"/>
        <w:ind w:firstLine="480"/>
        <w:jc w:val="left"/>
        <w:rPr>
          <w:rStyle w:val="203"/>
          <w:rFonts w:ascii="Times New Roman" w:eastAsia="宋体" w:cs="Times New Roman"/>
          <w:color w:val="auto"/>
          <w:szCs w:val="24"/>
        </w:rPr>
      </w:pPr>
      <w:r>
        <w:rPr>
          <w:rFonts w:ascii="Times New Roman" w:eastAsia="宋体" w:cs="Times New Roman"/>
          <w:color w:val="auto"/>
          <w:position w:val="-12"/>
          <w:szCs w:val="24"/>
        </w:rPr>
        <w:object>
          <v:shape id="_x0000_i1074" o:spt="75" type="#_x0000_t75" style="height:19.4pt;width:91.4pt;" o:ole="t" filled="f" o:preferrelative="t" stroked="f" coordsize="21600,21600">
            <v:path/>
            <v:fill on="f" focussize="0,0"/>
            <v:stroke on="f" joinstyle="miter"/>
            <v:imagedata r:id="rId117" o:title=""/>
            <o:lock v:ext="edit" aspectratio="t"/>
            <w10:wrap type="none"/>
            <w10:anchorlock/>
          </v:shape>
          <o:OLEObject Type="Embed" ProgID="Equation.3" ShapeID="_x0000_i1074" DrawAspect="Content" ObjectID="_1468075774" r:id="rId116">
            <o:LockedField>false</o:LockedField>
          </o:OLEObject>
        </w:object>
      </w:r>
      <w:r>
        <w:rPr>
          <w:rStyle w:val="203"/>
          <w:rFonts w:ascii="Times New Roman" w:eastAsia="宋体" w:cs="Times New Roman"/>
          <w:color w:val="auto"/>
          <w:szCs w:val="24"/>
        </w:rPr>
        <w:t xml:space="preserve"> + </w:t>
      </w:r>
      <w:r>
        <w:rPr>
          <w:rFonts w:ascii="Times New Roman" w:eastAsia="宋体" w:cs="Times New Roman"/>
          <w:color w:val="auto"/>
          <w:position w:val="-14"/>
          <w:szCs w:val="24"/>
        </w:rPr>
        <w:object>
          <v:shape id="_x0000_i1075" o:spt="75" type="#_x0000_t75" style="height:19.4pt;width:72pt;" o:ole="t" filled="f" o:preferrelative="t" stroked="f" coordsize="21600,21600">
            <v:path/>
            <v:fill on="f" focussize="0,0"/>
            <v:stroke on="f" joinstyle="miter"/>
            <v:imagedata r:id="rId119" o:title=""/>
            <o:lock v:ext="edit" aspectratio="t"/>
            <w10:wrap type="none"/>
            <w10:anchorlock/>
          </v:shape>
          <o:OLEObject Type="Embed" ProgID="Equation.3" ShapeID="_x0000_i1075" DrawAspect="Content" ObjectID="_1468075775" r:id="rId118">
            <o:LockedField>false</o:LockedField>
          </o:OLEObject>
        </w:object>
      </w:r>
      <w:r>
        <w:rPr>
          <w:rFonts w:ascii="Times New Roman" w:eastAsia="宋体" w:cs="Times New Roman"/>
          <w:color w:val="auto"/>
          <w:position w:val="-14"/>
          <w:szCs w:val="24"/>
        </w:rPr>
        <w:object>
          <v:shape id="_x0000_i1076" o:spt="75" type="#_x0000_t75" style="height:19.4pt;width:52.6pt;" o:ole="t" filled="f" o:preferrelative="t" stroked="f" coordsize="21600,21600">
            <v:path/>
            <v:fill on="f" focussize="0,0"/>
            <v:stroke on="f" joinstyle="miter"/>
            <v:imagedata r:id="rId121" o:title=""/>
            <o:lock v:ext="edit" aspectratio="t"/>
            <w10:wrap type="none"/>
            <w10:anchorlock/>
          </v:shape>
          <o:OLEObject Type="Embed" ProgID="Equation.3" ShapeID="_x0000_i1076" DrawAspect="Content" ObjectID="_1468075776" r:id="rId120">
            <o:LockedField>false</o:LockedField>
          </o:OLEObject>
        </w:object>
      </w:r>
      <w:r>
        <w:rPr>
          <w:rStyle w:val="203"/>
          <w:rFonts w:ascii="Times New Roman" w:eastAsia="宋体" w:cs="Times New Roman"/>
          <w:color w:val="auto"/>
          <w:szCs w:val="24"/>
        </w:rPr>
        <w:tab/>
      </w:r>
      <w:r>
        <w:rPr>
          <w:rFonts w:ascii="Times New Roman" w:eastAsia="宋体" w:cs="Times New Roman"/>
          <w:color w:val="auto"/>
          <w:szCs w:val="24"/>
        </w:rPr>
        <w:t xml:space="preserve">                </w:t>
      </w:r>
      <w:r>
        <w:rPr>
          <w:rFonts w:hint="eastAsia" w:ascii="Times New Roman" w:eastAsia="宋体" w:cs="Times New Roman"/>
          <w:color w:val="auto"/>
          <w:szCs w:val="24"/>
        </w:rPr>
        <w:t>（</w:t>
      </w:r>
      <w:r>
        <w:rPr>
          <w:rStyle w:val="203"/>
          <w:rFonts w:hint="eastAsia" w:ascii="Times New Roman" w:eastAsia="宋体" w:cs="Times New Roman"/>
          <w:color w:val="auto"/>
          <w:szCs w:val="24"/>
        </w:rPr>
        <w:t>公式</w:t>
      </w:r>
      <w:r>
        <w:rPr>
          <w:rFonts w:ascii="Times New Roman" w:eastAsia="宋体" w:cs="Times New Roman"/>
          <w:color w:val="auto"/>
          <w:szCs w:val="24"/>
        </w:rPr>
        <w:t>11</w:t>
      </w:r>
      <w:r>
        <w:rPr>
          <w:rFonts w:hint="eastAsia" w:ascii="Times New Roman" w:eastAsia="宋体" w:cs="Times New Roman"/>
          <w:color w:val="auto"/>
          <w:szCs w:val="24"/>
        </w:rPr>
        <w:t>）</w:t>
      </w:r>
    </w:p>
    <w:p>
      <w:pPr>
        <w:pStyle w:val="315"/>
        <w:spacing w:line="360" w:lineRule="auto"/>
        <w:ind w:firstLine="0" w:firstLineChars="0"/>
        <w:rPr>
          <w:rFonts w:ascii="Times New Roman" w:hAnsi="Times New Roman" w:eastAsia="宋体" w:cs="Times New Roman"/>
          <w:color w:val="auto"/>
          <w:szCs w:val="24"/>
        </w:rPr>
      </w:pPr>
      <w:r>
        <w:rPr>
          <w:rFonts w:hint="eastAsia" w:ascii="Times New Roman" w:hAnsi="Times New Roman" w:eastAsia="宋体" w:cs="Times New Roman"/>
          <w:color w:val="auto"/>
          <w:szCs w:val="24"/>
        </w:rPr>
        <w:t>式中：</w:t>
      </w:r>
    </w:p>
    <w:p>
      <w:pPr>
        <w:pStyle w:val="257"/>
        <w:spacing w:line="360" w:lineRule="auto"/>
        <w:ind w:firstLine="480"/>
        <w:rPr>
          <w:rStyle w:val="203"/>
          <w:rFonts w:ascii="Times New Roman" w:eastAsia="宋体" w:cs="Times New Roman"/>
          <w:color w:val="auto"/>
          <w:szCs w:val="24"/>
        </w:rPr>
      </w:pPr>
      <w:r>
        <w:rPr>
          <w:rFonts w:ascii="Times New Roman" w:eastAsia="宋体" w:cs="Times New Roman"/>
          <w:color w:val="auto"/>
          <w:position w:val="-14"/>
          <w:szCs w:val="24"/>
        </w:rPr>
        <w:object>
          <v:shape id="_x0000_i1077" o:spt="75" type="#_x0000_t75" style="height:24.4pt;width:83.9pt;" o:ole="t" filled="f" o:preferrelative="t" stroked="f" coordsize="21600,21600">
            <v:path/>
            <v:fill on="f" focussize="0,0"/>
            <v:stroke on="f" joinstyle="miter"/>
            <v:imagedata r:id="rId123" o:title=""/>
            <o:lock v:ext="edit" aspectratio="t"/>
            <w10:wrap type="none"/>
            <w10:anchorlock/>
          </v:shape>
          <o:OLEObject Type="Embed" ProgID="Equation.3" ShapeID="_x0000_i1077" DrawAspect="Content" ObjectID="_1468075777" r:id="rId122">
            <o:LockedField>false</o:LockedField>
          </o:OLEObject>
        </w:object>
      </w:r>
      <w:r>
        <w:rPr>
          <w:rFonts w:ascii="Times New Roman" w:eastAsia="宋体" w:cs="Times New Roman"/>
          <w:color w:val="auto"/>
          <w:szCs w:val="24"/>
        </w:rPr>
        <w:t xml:space="preserve">                                           </w:t>
      </w:r>
      <w:r>
        <w:rPr>
          <w:rStyle w:val="203"/>
          <w:rFonts w:hint="eastAsia" w:ascii="Times New Roman" w:eastAsia="宋体" w:cs="Times New Roman"/>
          <w:color w:val="auto"/>
          <w:szCs w:val="24"/>
        </w:rPr>
        <w:t>（公式</w:t>
      </w:r>
      <w:r>
        <w:rPr>
          <w:rStyle w:val="203"/>
          <w:rFonts w:ascii="Times New Roman" w:eastAsia="宋体" w:cs="Times New Roman"/>
          <w:color w:val="auto"/>
          <w:szCs w:val="24"/>
        </w:rPr>
        <w:t>12</w:t>
      </w:r>
      <w:r>
        <w:rPr>
          <w:rStyle w:val="203"/>
          <w:rFonts w:hint="eastAsia" w:ascii="Times New Roman" w:eastAsia="宋体" w:cs="Times New Roman"/>
          <w:color w:val="auto"/>
          <w:szCs w:val="24"/>
        </w:rPr>
        <w:t>）</w:t>
      </w:r>
    </w:p>
    <w:p>
      <w:pPr>
        <w:pStyle w:val="257"/>
        <w:spacing w:line="360" w:lineRule="auto"/>
        <w:ind w:firstLine="480"/>
        <w:rPr>
          <w:rStyle w:val="203"/>
          <w:rFonts w:ascii="Times New Roman" w:eastAsia="宋体" w:cs="Times New Roman"/>
          <w:color w:val="auto"/>
          <w:szCs w:val="24"/>
        </w:rPr>
      </w:pPr>
      <w:r>
        <w:rPr>
          <w:rFonts w:ascii="Times New Roman" w:eastAsia="宋体" w:cs="Times New Roman"/>
          <w:color w:val="auto"/>
          <w:position w:val="-16"/>
          <w:szCs w:val="24"/>
        </w:rPr>
        <w:object>
          <v:shape id="_x0000_i1078" o:spt="75" type="#_x0000_t75" style="height:24.4pt;width:87.05pt;" o:ole="t" filled="f" o:preferrelative="t" stroked="f" coordsize="21600,21600">
            <v:path/>
            <v:fill on="f" focussize="0,0"/>
            <v:stroke on="f" joinstyle="miter"/>
            <v:imagedata r:id="rId125" o:title=""/>
            <o:lock v:ext="edit" aspectratio="t"/>
            <w10:wrap type="none"/>
            <w10:anchorlock/>
          </v:shape>
          <o:OLEObject Type="Embed" ProgID="Equation.3" ShapeID="_x0000_i1078" DrawAspect="Content" ObjectID="_1468075778" r:id="rId124">
            <o:LockedField>false</o:LockedField>
          </o:OLEObject>
        </w:object>
      </w:r>
      <w:r>
        <w:rPr>
          <w:rFonts w:ascii="Times New Roman" w:eastAsia="宋体" w:cs="Times New Roman"/>
          <w:color w:val="auto"/>
          <w:szCs w:val="24"/>
        </w:rPr>
        <w:t xml:space="preserve">                                           </w:t>
      </w:r>
      <w:r>
        <w:rPr>
          <w:rStyle w:val="203"/>
          <w:rFonts w:hint="eastAsia" w:ascii="Times New Roman" w:eastAsia="宋体" w:cs="Times New Roman"/>
          <w:color w:val="auto"/>
          <w:szCs w:val="24"/>
        </w:rPr>
        <w:t>（公式</w:t>
      </w:r>
      <w:r>
        <w:rPr>
          <w:rStyle w:val="203"/>
          <w:rFonts w:ascii="Times New Roman" w:eastAsia="宋体" w:cs="Times New Roman"/>
          <w:color w:val="auto"/>
          <w:szCs w:val="24"/>
        </w:rPr>
        <w:t>13</w:t>
      </w:r>
      <w:r>
        <w:rPr>
          <w:rStyle w:val="203"/>
          <w:rFonts w:hint="eastAsia" w:ascii="Times New Roman" w:eastAsia="宋体" w:cs="Times New Roman"/>
          <w:color w:val="auto"/>
          <w:szCs w:val="24"/>
        </w:rPr>
        <w:t>）</w:t>
      </w:r>
    </w:p>
    <w:p>
      <w:pPr>
        <w:pStyle w:val="257"/>
        <w:spacing w:line="360" w:lineRule="auto"/>
        <w:ind w:firstLine="480"/>
        <w:rPr>
          <w:rStyle w:val="203"/>
          <w:rFonts w:ascii="Times New Roman" w:eastAsia="宋体" w:cs="Times New Roman"/>
          <w:color w:val="auto"/>
          <w:szCs w:val="24"/>
        </w:rPr>
      </w:pPr>
      <w:r>
        <w:rPr>
          <w:rStyle w:val="203"/>
          <w:rFonts w:hint="eastAsia" w:ascii="Times New Roman" w:eastAsia="宋体" w:cs="Times New Roman"/>
          <w:color w:val="auto"/>
          <w:szCs w:val="24"/>
        </w:rPr>
        <w:t>（</w:t>
      </w:r>
      <w:r>
        <w:rPr>
          <w:rStyle w:val="203"/>
          <w:rFonts w:ascii="Times New Roman" w:eastAsia="宋体" w:cs="Times New Roman"/>
          <w:color w:val="auto"/>
          <w:szCs w:val="24"/>
        </w:rPr>
        <w:t>2</w:t>
      </w:r>
      <w:r>
        <w:rPr>
          <w:rStyle w:val="203"/>
          <w:rFonts w:hint="eastAsia" w:ascii="Times New Roman" w:eastAsia="宋体" w:cs="Times New Roman"/>
          <w:color w:val="auto"/>
          <w:szCs w:val="24"/>
        </w:rPr>
        <w:t>）工频磁感应强度计算模型</w:t>
      </w:r>
    </w:p>
    <w:p>
      <w:pPr>
        <w:pStyle w:val="315"/>
        <w:spacing w:before="120"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由于工频情况下电磁性能具有准静态特性，线路的磁场仅由电流产生。应用安培定律，将计算结果按矢量叠加，可得出导线周围的磁场强度。</w:t>
      </w:r>
    </w:p>
    <w:p>
      <w:pPr>
        <w:pStyle w:val="315"/>
        <w:spacing w:before="120"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和工频电场强度计算不同的是关于镜像导线的考虑，与导线所处高度相比这些镜像导线位于地下很深的距离</w:t>
      </w:r>
      <w:r>
        <w:rPr>
          <w:rFonts w:ascii="Times New Roman" w:hAnsi="Times New Roman" w:eastAsia="宋体" w:cs="Times New Roman"/>
          <w:i/>
          <w:color w:val="auto"/>
          <w:szCs w:val="24"/>
        </w:rPr>
        <w:t>d</w:t>
      </w:r>
      <w:r>
        <w:rPr>
          <w:rFonts w:hint="eastAsia" w:ascii="Times New Roman" w:hAnsi="Times New Roman" w:eastAsia="宋体" w:cs="Times New Roman"/>
          <w:color w:val="auto"/>
          <w:szCs w:val="24"/>
        </w:rPr>
        <w:t>：</w:t>
      </w:r>
    </w:p>
    <w:p>
      <w:pPr>
        <w:pStyle w:val="315"/>
        <w:spacing w:before="120" w:line="360" w:lineRule="auto"/>
        <w:rPr>
          <w:rFonts w:ascii="Times New Roman" w:hAnsi="Times New Roman" w:eastAsia="宋体" w:cs="Times New Roman"/>
          <w:color w:val="auto"/>
          <w:szCs w:val="24"/>
        </w:rPr>
      </w:pPr>
      <w:r>
        <w:rPr>
          <w:rFonts w:ascii="Times New Roman" w:hAnsi="Times New Roman" w:eastAsia="宋体" w:cs="Times New Roman"/>
          <w:color w:val="auto"/>
          <w:position w:val="-30"/>
          <w:szCs w:val="24"/>
        </w:rPr>
        <w:object>
          <v:shape id="_x0000_i1079" o:spt="75" type="#_x0000_t75" style="height:37.55pt;width:60.1pt;" o:ole="t" filled="f" o:preferrelative="t" stroked="f" coordsize="21600,21600">
            <v:path/>
            <v:fill on="f" focussize="0,0"/>
            <v:stroke on="f" joinstyle="miter"/>
            <v:imagedata r:id="rId127" o:title=""/>
            <o:lock v:ext="edit" aspectratio="t"/>
            <w10:wrap type="none"/>
            <w10:anchorlock/>
          </v:shape>
          <o:OLEObject Type="Embed" ProgID="Equation.3" ShapeID="_x0000_i1079" DrawAspect="Content" ObjectID="_1468075779" r:id="rId126">
            <o:LockedField>false</o:LockedField>
          </o:OLEObject>
        </w:object>
      </w:r>
      <w:r>
        <w:rPr>
          <w:rFonts w:ascii="Times New Roman" w:hAnsi="Times New Roman" w:eastAsia="宋体" w:cs="Times New Roman"/>
          <w:color w:val="auto"/>
          <w:szCs w:val="24"/>
        </w:rPr>
        <w:t xml:space="preserve"> </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m</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 xml:space="preserve">                                         </w:t>
      </w:r>
      <w:r>
        <w:rPr>
          <w:rFonts w:hint="eastAsia" w:ascii="Times New Roman" w:hAnsi="Times New Roman" w:eastAsia="宋体" w:cs="Times New Roman"/>
          <w:color w:val="auto"/>
          <w:szCs w:val="24"/>
        </w:rPr>
        <w:t>（</w:t>
      </w:r>
      <w:r>
        <w:rPr>
          <w:rStyle w:val="203"/>
          <w:rFonts w:hint="eastAsia" w:ascii="Times New Roman" w:hAnsi="Times New Roman" w:eastAsia="宋体" w:cs="Times New Roman"/>
          <w:color w:val="auto"/>
          <w:szCs w:val="24"/>
        </w:rPr>
        <w:t>公式</w:t>
      </w:r>
      <w:r>
        <w:rPr>
          <w:rFonts w:ascii="Times New Roman" w:hAnsi="Times New Roman" w:eastAsia="宋体" w:cs="Times New Roman"/>
          <w:color w:val="auto"/>
          <w:szCs w:val="24"/>
        </w:rPr>
        <w:t>14</w:t>
      </w:r>
      <w:r>
        <w:rPr>
          <w:rFonts w:hint="eastAsia" w:ascii="Times New Roman" w:hAnsi="Times New Roman" w:eastAsia="宋体" w:cs="Times New Roman"/>
          <w:color w:val="auto"/>
          <w:szCs w:val="24"/>
        </w:rPr>
        <w:t>）</w:t>
      </w:r>
    </w:p>
    <w:p>
      <w:pPr>
        <w:pStyle w:val="315"/>
        <w:spacing w:before="120"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式中：</w:t>
      </w:r>
      <w:r>
        <w:rPr>
          <w:rFonts w:ascii="Times New Roman" w:hAnsi="Times New Roman" w:eastAsia="宋体" w:cs="Times New Roman"/>
          <w:i/>
          <w:color w:val="auto"/>
          <w:szCs w:val="24"/>
        </w:rPr>
        <w:t>ρ</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大地电阻率，</w:t>
      </w:r>
      <w:r>
        <w:rPr>
          <w:rFonts w:ascii="Times New Roman" w:hAnsi="Times New Roman" w:eastAsia="宋体" w:cs="Times New Roman"/>
          <w:color w:val="auto"/>
          <w:szCs w:val="24"/>
        </w:rPr>
        <w:object>
          <v:shape id="_x0000_i1080" o:spt="75" type="#_x0000_t75" style="height:11.9pt;width:22.55pt;" o:ole="t" filled="f" o:preferrelative="t" stroked="f" coordsize="21600,21600">
            <v:path/>
            <v:fill on="f" focussize="0,0"/>
            <v:stroke on="f" joinstyle="miter"/>
            <v:imagedata r:id="rId129" o:title=""/>
            <o:lock v:ext="edit" aspectratio="t"/>
            <w10:wrap type="none"/>
            <w10:anchorlock/>
          </v:shape>
          <o:OLEObject Type="Embed" ProgID="Equation.3" ShapeID="_x0000_i1080" DrawAspect="Content" ObjectID="_1468075780" r:id="rId128">
            <o:LockedField>false</o:LockedField>
          </o:OLEObject>
        </w:object>
      </w:r>
      <w:r>
        <w:rPr>
          <w:rFonts w:hint="eastAsia" w:ascii="Times New Roman" w:hAnsi="Times New Roman" w:eastAsia="宋体" w:cs="Times New Roman"/>
          <w:color w:val="auto"/>
          <w:szCs w:val="24"/>
        </w:rPr>
        <w:t>；</w:t>
      </w:r>
    </w:p>
    <w:p>
      <w:pPr>
        <w:pStyle w:val="315"/>
        <w:snapToGrid w:val="0"/>
        <w:spacing w:line="360" w:lineRule="auto"/>
        <w:rPr>
          <w:rFonts w:ascii="Times New Roman" w:hAnsi="Times New Roman" w:eastAsia="宋体" w:cs="Times New Roman"/>
          <w:color w:val="auto"/>
          <w:szCs w:val="24"/>
        </w:rPr>
      </w:pPr>
      <w:r>
        <w:rPr>
          <w:rFonts w:ascii="Times New Roman" w:hAnsi="Times New Roman" w:eastAsia="宋体" w:cs="Times New Roman"/>
          <w:i/>
          <w:color w:val="auto"/>
          <w:szCs w:val="24"/>
        </w:rPr>
        <w:t>f</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频率，</w:t>
      </w:r>
      <w:r>
        <w:rPr>
          <w:rFonts w:ascii="Times New Roman" w:hAnsi="Times New Roman" w:eastAsia="宋体" w:cs="Times New Roman"/>
          <w:color w:val="auto"/>
          <w:szCs w:val="24"/>
        </w:rPr>
        <w:t>Hz</w:t>
      </w:r>
      <w:r>
        <w:rPr>
          <w:rFonts w:hint="eastAsia" w:ascii="Times New Roman" w:hAnsi="Times New Roman" w:eastAsia="宋体" w:cs="Times New Roman"/>
          <w:color w:val="auto"/>
          <w:szCs w:val="24"/>
        </w:rPr>
        <w:t>。</w:t>
      </w:r>
    </w:p>
    <w:p>
      <w:pPr>
        <w:pStyle w:val="315"/>
        <w:snapToGrid w:val="0"/>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在很多情况下，只考虑处于空间的实际导线，忽略它的镜像进行计算，其结果已足够符合实际。如图</w:t>
      </w:r>
      <w:r>
        <w:rPr>
          <w:rFonts w:ascii="Times New Roman" w:hAnsi="Times New Roman" w:eastAsia="宋体" w:cs="Times New Roman"/>
          <w:color w:val="auto"/>
          <w:szCs w:val="24"/>
        </w:rPr>
        <w:t>7-3</w:t>
      </w:r>
      <w:r>
        <w:rPr>
          <w:rFonts w:hint="eastAsia" w:ascii="Times New Roman" w:hAnsi="Times New Roman" w:eastAsia="宋体" w:cs="Times New Roman"/>
          <w:color w:val="auto"/>
          <w:szCs w:val="24"/>
        </w:rPr>
        <w:t>，不考虑导线</w:t>
      </w:r>
      <w:r>
        <w:rPr>
          <w:rFonts w:ascii="Times New Roman" w:hAnsi="Times New Roman" w:eastAsia="宋体" w:cs="Times New Roman"/>
          <w:color w:val="auto"/>
          <w:szCs w:val="24"/>
        </w:rPr>
        <w:t>i</w:t>
      </w:r>
      <w:r>
        <w:rPr>
          <w:rFonts w:hint="eastAsia" w:ascii="Times New Roman" w:hAnsi="Times New Roman" w:eastAsia="宋体" w:cs="Times New Roman"/>
          <w:color w:val="auto"/>
          <w:szCs w:val="24"/>
        </w:rPr>
        <w:t>的镜像时，可计算在</w:t>
      </w:r>
      <w:r>
        <w:rPr>
          <w:rFonts w:ascii="Times New Roman" w:hAnsi="Times New Roman" w:eastAsia="宋体" w:cs="Times New Roman"/>
          <w:color w:val="auto"/>
          <w:szCs w:val="24"/>
        </w:rPr>
        <w:t>A</w:t>
      </w:r>
      <w:r>
        <w:rPr>
          <w:rFonts w:hint="eastAsia" w:ascii="Times New Roman" w:hAnsi="Times New Roman" w:eastAsia="宋体" w:cs="Times New Roman"/>
          <w:color w:val="auto"/>
          <w:szCs w:val="24"/>
        </w:rPr>
        <w:t>点其产生的磁场强度：</w:t>
      </w:r>
    </w:p>
    <w:p>
      <w:pPr>
        <w:pStyle w:val="315"/>
        <w:snapToGrid w:val="0"/>
        <w:spacing w:line="360" w:lineRule="auto"/>
        <w:rPr>
          <w:rFonts w:ascii="Times New Roman" w:hAnsi="Times New Roman" w:eastAsia="宋体" w:cs="Times New Roman"/>
          <w:color w:val="auto"/>
          <w:szCs w:val="24"/>
        </w:rPr>
      </w:pPr>
      <w:r>
        <w:rPr>
          <w:rFonts w:ascii="Times New Roman" w:hAnsi="Times New Roman" w:eastAsia="宋体" w:cs="Times New Roman"/>
          <w:color w:val="auto"/>
          <w:position w:val="-32"/>
          <w:szCs w:val="24"/>
        </w:rPr>
        <w:object>
          <v:shape id="_x0000_i1081" o:spt="75" type="#_x0000_t75" style="height:34.45pt;width:87.05pt;" o:ole="t" filled="f" o:preferrelative="t" stroked="f" coordsize="21600,21600">
            <v:path/>
            <v:fill on="f" focussize="0,0"/>
            <v:stroke on="f" joinstyle="miter"/>
            <v:imagedata r:id="rId131" o:title=""/>
            <o:lock v:ext="edit" aspectratio="t"/>
            <w10:wrap type="none"/>
            <w10:anchorlock/>
          </v:shape>
          <o:OLEObject Type="Embed" ProgID="Equation.3" ShapeID="_x0000_i1081" DrawAspect="Content" ObjectID="_1468075781" r:id="rId130">
            <o:LockedField>false</o:LockedField>
          </o:OLEObject>
        </w:object>
      </w:r>
      <w:r>
        <w:rPr>
          <w:rFonts w:ascii="Times New Roman" w:hAnsi="Times New Roman" w:eastAsia="宋体" w:cs="Times New Roman"/>
          <w:color w:val="auto"/>
          <w:szCs w:val="24"/>
        </w:rPr>
        <w:t xml:space="preserve"> </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A/m</w:t>
      </w:r>
      <w:r>
        <w:rPr>
          <w:rFonts w:hint="eastAsia" w:ascii="Times New Roman" w:hAnsi="Times New Roman" w:eastAsia="宋体" w:cs="Times New Roman"/>
          <w:color w:val="auto"/>
          <w:szCs w:val="24"/>
        </w:rPr>
        <w:t>）</w:t>
      </w:r>
      <w:r>
        <w:rPr>
          <w:rFonts w:ascii="Times New Roman" w:hAnsi="Times New Roman" w:eastAsia="宋体" w:cs="Times New Roman"/>
          <w:color w:val="auto"/>
          <w:szCs w:val="24"/>
        </w:rPr>
        <w:t xml:space="preserve">                                   </w:t>
      </w:r>
      <w:r>
        <w:rPr>
          <w:rFonts w:hint="eastAsia" w:ascii="Times New Roman" w:hAnsi="Times New Roman" w:eastAsia="宋体" w:cs="Times New Roman"/>
          <w:color w:val="auto"/>
          <w:szCs w:val="24"/>
        </w:rPr>
        <w:t>（</w:t>
      </w:r>
      <w:r>
        <w:rPr>
          <w:rStyle w:val="203"/>
          <w:rFonts w:hint="eastAsia" w:ascii="Times New Roman" w:hAnsi="Times New Roman" w:eastAsia="宋体" w:cs="Times New Roman"/>
          <w:color w:val="auto"/>
          <w:szCs w:val="24"/>
        </w:rPr>
        <w:t>公式</w:t>
      </w:r>
      <w:r>
        <w:rPr>
          <w:rFonts w:ascii="Times New Roman" w:hAnsi="Times New Roman" w:eastAsia="宋体" w:cs="Times New Roman"/>
          <w:color w:val="auto"/>
          <w:szCs w:val="24"/>
        </w:rPr>
        <w:t>15</w:t>
      </w:r>
      <w:r>
        <w:rPr>
          <w:rFonts w:hint="eastAsia" w:ascii="Times New Roman" w:hAnsi="Times New Roman" w:eastAsia="宋体" w:cs="Times New Roman"/>
          <w:color w:val="auto"/>
          <w:szCs w:val="24"/>
        </w:rPr>
        <w:t>）</w:t>
      </w:r>
    </w:p>
    <w:p>
      <w:pPr>
        <w:pStyle w:val="315"/>
        <w:snapToGrid w:val="0"/>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式中：</w:t>
      </w:r>
      <w:r>
        <w:rPr>
          <w:rFonts w:ascii="Times New Roman" w:hAnsi="Times New Roman" w:eastAsia="宋体" w:cs="Times New Roman"/>
          <w:i/>
          <w:color w:val="auto"/>
          <w:szCs w:val="24"/>
        </w:rPr>
        <w:t>I</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导线</w:t>
      </w:r>
      <w:r>
        <w:rPr>
          <w:rFonts w:ascii="Times New Roman" w:hAnsi="Times New Roman" w:eastAsia="宋体" w:cs="Times New Roman"/>
          <w:color w:val="auto"/>
          <w:szCs w:val="24"/>
        </w:rPr>
        <w:t>i</w:t>
      </w:r>
      <w:r>
        <w:rPr>
          <w:rFonts w:hint="eastAsia" w:ascii="Times New Roman" w:hAnsi="Times New Roman" w:eastAsia="宋体" w:cs="Times New Roman"/>
          <w:color w:val="auto"/>
          <w:szCs w:val="24"/>
        </w:rPr>
        <w:t>中的电流值，</w:t>
      </w:r>
      <w:r>
        <w:rPr>
          <w:rFonts w:ascii="Times New Roman" w:hAnsi="Times New Roman" w:eastAsia="宋体" w:cs="Times New Roman"/>
          <w:color w:val="auto"/>
          <w:szCs w:val="24"/>
        </w:rPr>
        <w:t>A</w:t>
      </w:r>
      <w:r>
        <w:rPr>
          <w:rFonts w:hint="eastAsia" w:ascii="Times New Roman" w:hAnsi="Times New Roman" w:eastAsia="宋体" w:cs="Times New Roman"/>
          <w:color w:val="auto"/>
          <w:szCs w:val="24"/>
        </w:rPr>
        <w:t>；</w:t>
      </w:r>
    </w:p>
    <w:p>
      <w:pPr>
        <w:pStyle w:val="315"/>
        <w:snapToGrid w:val="0"/>
        <w:spacing w:line="360" w:lineRule="auto"/>
        <w:rPr>
          <w:rFonts w:ascii="Times New Roman" w:hAnsi="Times New Roman" w:eastAsia="宋体" w:cs="Times New Roman"/>
          <w:color w:val="auto"/>
          <w:szCs w:val="24"/>
        </w:rPr>
      </w:pPr>
      <w:r>
        <w:rPr>
          <w:rFonts w:ascii="Times New Roman" w:hAnsi="Times New Roman" w:eastAsia="宋体" w:cs="Times New Roman"/>
          <w:i/>
          <w:color w:val="auto"/>
          <w:szCs w:val="24"/>
        </w:rPr>
        <w:t>h</w:t>
      </w:r>
      <w:r>
        <w:rPr>
          <w:rFonts w:ascii="Times New Roman" w:hAnsi="Times New Roman" w:eastAsia="宋体" w:cs="Times New Roman"/>
          <w:color w:val="auto"/>
          <w:szCs w:val="24"/>
        </w:rPr>
        <w:t>——</w:t>
      </w:r>
      <w:r>
        <w:rPr>
          <w:rFonts w:hint="eastAsia" w:ascii="Times New Roman" w:hAnsi="Times New Roman" w:eastAsia="宋体" w:cs="Times New Roman"/>
          <w:color w:val="auto"/>
          <w:szCs w:val="24"/>
        </w:rPr>
        <w:t>导线与预测点的高差，</w:t>
      </w:r>
      <w:r>
        <w:rPr>
          <w:rFonts w:ascii="Times New Roman" w:hAnsi="Times New Roman" w:eastAsia="宋体" w:cs="Times New Roman"/>
          <w:color w:val="auto"/>
          <w:szCs w:val="24"/>
        </w:rPr>
        <w:t>m</w:t>
      </w:r>
      <w:r>
        <w:rPr>
          <w:rFonts w:hint="eastAsia" w:ascii="Times New Roman" w:hAnsi="Times New Roman" w:eastAsia="宋体" w:cs="Times New Roman"/>
          <w:color w:val="auto"/>
          <w:szCs w:val="24"/>
        </w:rPr>
        <w:t>；</w:t>
      </w:r>
    </w:p>
    <w:p>
      <w:pPr>
        <w:pStyle w:val="315"/>
        <w:snapToGrid w:val="0"/>
        <w:spacing w:line="360" w:lineRule="auto"/>
        <w:rPr>
          <w:rFonts w:ascii="Times New Roman" w:hAnsi="Times New Roman" w:eastAsia="宋体" w:cs="Times New Roman"/>
          <w:color w:val="auto"/>
          <w:szCs w:val="24"/>
        </w:rPr>
      </w:pPr>
      <w:r>
        <w:rPr>
          <w:rFonts w:ascii="Times New Roman" w:hAnsi="Times New Roman" w:eastAsia="宋体" w:cs="Times New Roman"/>
          <w:i/>
          <w:color w:val="auto"/>
          <w:szCs w:val="24"/>
        </w:rPr>
        <w:t>L</w:t>
      </w:r>
      <w:r>
        <w:rPr>
          <w:rFonts w:ascii="Times New Roman" w:hAnsi="Times New Roman" w:eastAsia="宋体" w:cs="Times New Roman"/>
          <w:color w:val="auto"/>
          <w:szCs w:val="24"/>
        </w:rPr>
        <w:t xml:space="preserve"> ——</w:t>
      </w:r>
      <w:r>
        <w:rPr>
          <w:rFonts w:hint="eastAsia" w:ascii="Times New Roman" w:hAnsi="Times New Roman" w:eastAsia="宋体" w:cs="Times New Roman"/>
          <w:color w:val="auto"/>
          <w:szCs w:val="24"/>
        </w:rPr>
        <w:t>导线与预测点水平距离，</w:t>
      </w:r>
      <w:r>
        <w:rPr>
          <w:rFonts w:ascii="Times New Roman" w:hAnsi="Times New Roman" w:eastAsia="宋体" w:cs="Times New Roman"/>
          <w:color w:val="auto"/>
          <w:szCs w:val="24"/>
        </w:rPr>
        <w:t>m</w:t>
      </w:r>
      <w:r>
        <w:rPr>
          <w:rFonts w:hint="eastAsia" w:ascii="Times New Roman" w:hAnsi="Times New Roman" w:eastAsia="宋体" w:cs="Times New Roman"/>
          <w:color w:val="auto"/>
          <w:szCs w:val="24"/>
        </w:rPr>
        <w:t>。</w:t>
      </w:r>
    </w:p>
    <w:p>
      <w:pPr>
        <w:pStyle w:val="315"/>
        <w:snapToGrid w:val="0"/>
        <w:spacing w:line="360" w:lineRule="auto"/>
        <w:rPr>
          <w:rFonts w:ascii="Times New Roman" w:hAnsi="Times New Roman" w:eastAsia="宋体" w:cs="Times New Roman"/>
          <w:color w:val="auto"/>
          <w:szCs w:val="24"/>
        </w:rPr>
      </w:pPr>
      <w:r>
        <w:rPr>
          <w:rFonts w:hint="eastAsia" w:ascii="Times New Roman" w:hAnsi="Times New Roman" w:eastAsia="宋体" w:cs="Times New Roman"/>
          <w:color w:val="auto"/>
          <w:szCs w:val="24"/>
        </w:rPr>
        <w:t>对于三相线路，由相位不同形成的磁场强度水平和垂直分量都应分别考虑电流间的相角，按相位矢量来合成。合成的旋转矢量在空间的轨迹是一个椭圆。</w:t>
      </w:r>
    </w:p>
    <w:p>
      <w:pPr>
        <w:pStyle w:val="315"/>
        <w:ind w:firstLine="0" w:firstLineChars="0"/>
        <w:jc w:val="center"/>
        <w:rPr>
          <w:rFonts w:ascii="Times New Roman" w:hAnsi="Times New Roman" w:eastAsia="宋体" w:cs="Times New Roman"/>
          <w:color w:val="auto"/>
          <w:szCs w:val="24"/>
        </w:rPr>
      </w:pPr>
      <w:r>
        <w:rPr>
          <w:rFonts w:ascii="Times New Roman" w:hAnsi="Times New Roman" w:eastAsia="宋体" w:cs="Times New Roman"/>
          <w:color w:val="auto"/>
          <w:szCs w:val="24"/>
        </w:rPr>
        <w:drawing>
          <wp:inline distT="0" distB="0" distL="0" distR="0">
            <wp:extent cx="3132455" cy="2353945"/>
            <wp:effectExtent l="19050" t="0" r="0" b="0"/>
            <wp:docPr id="95" name="图片 3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6" descr="05"/>
                    <pic:cNvPicPr>
                      <a:picLocks noChangeAspect="1" noChangeArrowheads="1"/>
                    </pic:cNvPicPr>
                  </pic:nvPicPr>
                  <pic:blipFill>
                    <a:blip r:embed="rId132" cstate="print"/>
                    <a:srcRect t="708" b="2148"/>
                    <a:stretch>
                      <a:fillRect/>
                    </a:stretch>
                  </pic:blipFill>
                  <pic:spPr>
                    <a:xfrm>
                      <a:off x="0" y="0"/>
                      <a:ext cx="3132455" cy="2353945"/>
                    </a:xfrm>
                    <a:prstGeom prst="rect">
                      <a:avLst/>
                    </a:prstGeom>
                    <a:noFill/>
                    <a:ln w="9525">
                      <a:noFill/>
                      <a:miter lim="800000"/>
                      <a:headEnd/>
                      <a:tailEnd/>
                    </a:ln>
                    <a:effectLst/>
                  </pic:spPr>
                </pic:pic>
              </a:graphicData>
            </a:graphic>
          </wp:inline>
        </w:drawing>
      </w:r>
    </w:p>
    <w:p>
      <w:pPr>
        <w:pStyle w:val="315"/>
        <w:spacing w:line="360" w:lineRule="auto"/>
        <w:ind w:firstLine="0" w:firstLineChars="0"/>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图</w:t>
      </w:r>
      <w:r>
        <w:rPr>
          <w:rFonts w:ascii="Times New Roman" w:hAnsi="Times New Roman" w:eastAsia="宋体" w:cs="Times New Roman"/>
          <w:b/>
          <w:bCs/>
          <w:color w:val="auto"/>
          <w:sz w:val="21"/>
          <w:szCs w:val="21"/>
        </w:rPr>
        <w:t xml:space="preserve">3  </w:t>
      </w:r>
      <w:r>
        <w:rPr>
          <w:rFonts w:hint="eastAsia" w:ascii="Times New Roman" w:hAnsi="Times New Roman" w:eastAsia="宋体" w:cs="Times New Roman"/>
          <w:b/>
          <w:bCs/>
          <w:color w:val="auto"/>
          <w:sz w:val="21"/>
          <w:szCs w:val="21"/>
        </w:rPr>
        <w:t>磁场向量图</w:t>
      </w:r>
    </w:p>
    <w:p>
      <w:pPr>
        <w:spacing w:line="360" w:lineRule="auto"/>
        <w:rPr>
          <w:b/>
          <w:bCs/>
          <w:color w:val="auto"/>
          <w:sz w:val="24"/>
        </w:rPr>
      </w:pPr>
      <w:r>
        <w:rPr>
          <w:b/>
          <w:bCs/>
          <w:color w:val="auto"/>
          <w:sz w:val="24"/>
        </w:rPr>
        <w:t>3.1.1.3</w:t>
      </w:r>
      <w:r>
        <w:rPr>
          <w:rFonts w:hint="eastAsia"/>
          <w:b/>
          <w:bCs/>
          <w:color w:val="auto"/>
          <w:sz w:val="24"/>
        </w:rPr>
        <w:t>模式预测</w:t>
      </w:r>
    </w:p>
    <w:p>
      <w:pPr>
        <w:spacing w:line="360" w:lineRule="auto"/>
        <w:ind w:firstLine="482"/>
        <w:rPr>
          <w:color w:val="auto"/>
          <w:sz w:val="24"/>
        </w:rPr>
      </w:pPr>
      <w:r>
        <w:rPr>
          <w:rFonts w:hint="eastAsia"/>
          <w:color w:val="auto"/>
          <w:sz w:val="24"/>
        </w:rPr>
        <w:t>（</w:t>
      </w:r>
      <w:r>
        <w:rPr>
          <w:color w:val="auto"/>
          <w:sz w:val="24"/>
        </w:rPr>
        <w:t>1</w:t>
      </w:r>
      <w:r>
        <w:rPr>
          <w:rFonts w:hint="eastAsia"/>
          <w:color w:val="auto"/>
          <w:sz w:val="24"/>
        </w:rPr>
        <w:t>）参数选取</w:t>
      </w:r>
    </w:p>
    <w:p>
      <w:pPr>
        <w:spacing w:line="360" w:lineRule="auto"/>
        <w:ind w:firstLine="480"/>
        <w:rPr>
          <w:color w:val="auto"/>
          <w:sz w:val="24"/>
        </w:rPr>
      </w:pPr>
      <w:r>
        <w:rPr>
          <w:color w:val="auto"/>
          <w:sz w:val="24"/>
        </w:rPr>
        <w:t>1</w:t>
      </w:r>
      <w:r>
        <w:rPr>
          <w:rFonts w:hint="eastAsia"/>
          <w:color w:val="auto"/>
          <w:sz w:val="24"/>
        </w:rPr>
        <w:t>）杆塔</w:t>
      </w:r>
    </w:p>
    <w:p>
      <w:pPr>
        <w:spacing w:line="360" w:lineRule="auto"/>
        <w:ind w:firstLine="480"/>
        <w:rPr>
          <w:color w:val="auto"/>
          <w:kern w:val="0"/>
          <w:sz w:val="22"/>
          <w:szCs w:val="22"/>
        </w:rPr>
      </w:pPr>
      <w:r>
        <w:rPr>
          <w:rFonts w:hint="eastAsia"/>
          <w:color w:val="auto"/>
          <w:sz w:val="24"/>
        </w:rPr>
        <w:t>根据工可报告，本项目线路采用单回架空的方式进行架设，新建线路总长度</w:t>
      </w:r>
      <w:r>
        <w:rPr>
          <w:color w:val="auto"/>
          <w:sz w:val="24"/>
        </w:rPr>
        <w:t>0.2km</w:t>
      </w:r>
      <w:r>
        <w:rPr>
          <w:rFonts w:hint="eastAsia"/>
          <w:color w:val="auto"/>
          <w:sz w:val="24"/>
        </w:rPr>
        <w:t>，新建杆塔</w:t>
      </w:r>
      <w:r>
        <w:rPr>
          <w:color w:val="auto"/>
          <w:sz w:val="24"/>
        </w:rPr>
        <w:t>3</w:t>
      </w:r>
      <w:r>
        <w:rPr>
          <w:rFonts w:hint="eastAsia"/>
          <w:color w:val="auto"/>
          <w:sz w:val="24"/>
        </w:rPr>
        <w:t>基，其中</w:t>
      </w:r>
      <w:r>
        <w:rPr>
          <w:color w:val="auto"/>
          <w:sz w:val="24"/>
        </w:rPr>
        <w:t>2</w:t>
      </w:r>
      <w:r>
        <w:rPr>
          <w:rFonts w:hint="eastAsia"/>
          <w:color w:val="auto"/>
          <w:sz w:val="24"/>
        </w:rPr>
        <w:t>基使用</w:t>
      </w:r>
      <w:r>
        <w:rPr>
          <w:color w:val="auto"/>
          <w:kern w:val="0"/>
          <w:sz w:val="24"/>
          <w:szCs w:val="24"/>
        </w:rPr>
        <w:t>1D9-SDJC</w:t>
      </w:r>
      <w:r>
        <w:rPr>
          <w:rFonts w:hint="eastAsia"/>
          <w:color w:val="auto"/>
          <w:kern w:val="0"/>
          <w:sz w:val="24"/>
          <w:szCs w:val="24"/>
        </w:rPr>
        <w:t>，因此</w:t>
      </w:r>
      <w:r>
        <w:rPr>
          <w:rFonts w:hint="eastAsia"/>
          <w:color w:val="auto"/>
          <w:sz w:val="24"/>
        </w:rPr>
        <w:t>本次评价选取工程使用最多的杆塔</w:t>
      </w:r>
      <w:r>
        <w:rPr>
          <w:rFonts w:hint="eastAsia"/>
          <w:color w:val="auto"/>
          <w:kern w:val="0"/>
          <w:sz w:val="22"/>
          <w:szCs w:val="22"/>
        </w:rPr>
        <w:t>进行电磁预测计算。</w:t>
      </w:r>
    </w:p>
    <w:p>
      <w:pPr>
        <w:spacing w:line="360" w:lineRule="auto"/>
        <w:ind w:firstLine="480"/>
        <w:rPr>
          <w:color w:val="auto"/>
          <w:kern w:val="0"/>
          <w:sz w:val="24"/>
          <w:szCs w:val="24"/>
        </w:rPr>
      </w:pPr>
      <w:r>
        <w:rPr>
          <w:color w:val="auto"/>
          <w:kern w:val="0"/>
          <w:sz w:val="24"/>
          <w:szCs w:val="24"/>
        </w:rPr>
        <w:t>2</w:t>
      </w:r>
      <w:r>
        <w:rPr>
          <w:rFonts w:hint="eastAsia"/>
          <w:color w:val="auto"/>
          <w:kern w:val="0"/>
          <w:sz w:val="24"/>
          <w:szCs w:val="24"/>
        </w:rPr>
        <w:t>）导线型号及导线对地距离</w:t>
      </w:r>
    </w:p>
    <w:p>
      <w:pPr>
        <w:spacing w:line="360" w:lineRule="auto"/>
        <w:ind w:firstLine="480"/>
        <w:rPr>
          <w:color w:val="auto"/>
          <w:sz w:val="24"/>
          <w:szCs w:val="24"/>
        </w:rPr>
      </w:pPr>
      <w:r>
        <w:rPr>
          <w:rFonts w:hint="eastAsia"/>
          <w:color w:val="auto"/>
          <w:sz w:val="24"/>
          <w:szCs w:val="24"/>
        </w:rPr>
        <w:t>根据工可报告，本工程</w:t>
      </w:r>
      <w:r>
        <w:rPr>
          <w:color w:val="auto"/>
          <w:sz w:val="24"/>
          <w:szCs w:val="24"/>
        </w:rPr>
        <w:t>15mm</w:t>
      </w:r>
      <w:r>
        <w:rPr>
          <w:rFonts w:hint="eastAsia"/>
          <w:color w:val="auto"/>
          <w:sz w:val="24"/>
          <w:szCs w:val="24"/>
        </w:rPr>
        <w:t>冰区选</w:t>
      </w:r>
      <w:r>
        <w:rPr>
          <w:color w:val="auto"/>
          <w:sz w:val="24"/>
          <w:szCs w:val="24"/>
        </w:rPr>
        <w:t xml:space="preserve">JGL-300/40 </w:t>
      </w:r>
      <w:r>
        <w:rPr>
          <w:rFonts w:hint="eastAsia"/>
          <w:color w:val="auto"/>
          <w:sz w:val="24"/>
          <w:szCs w:val="24"/>
        </w:rPr>
        <w:t>型钢芯铝绞线，因此，本次评价选择</w:t>
      </w:r>
      <w:r>
        <w:rPr>
          <w:color w:val="auto"/>
          <w:sz w:val="24"/>
          <w:szCs w:val="24"/>
        </w:rPr>
        <w:t>JL3/G1A-300/40</w:t>
      </w:r>
      <w:r>
        <w:rPr>
          <w:rFonts w:hint="eastAsia"/>
          <w:color w:val="auto"/>
          <w:sz w:val="24"/>
          <w:szCs w:val="24"/>
        </w:rPr>
        <w:t>型号导线进行预测计算。</w:t>
      </w:r>
    </w:p>
    <w:p>
      <w:pPr>
        <w:spacing w:line="360" w:lineRule="auto"/>
        <w:ind w:firstLine="480"/>
        <w:rPr>
          <w:color w:val="auto"/>
          <w:sz w:val="24"/>
          <w:szCs w:val="24"/>
        </w:rPr>
      </w:pPr>
      <w:r>
        <w:rPr>
          <w:rFonts w:hint="eastAsia"/>
          <w:color w:val="auto"/>
          <w:sz w:val="24"/>
        </w:rPr>
        <w:t>根据《</w:t>
      </w:r>
      <w:r>
        <w:rPr>
          <w:color w:val="auto"/>
          <w:sz w:val="24"/>
        </w:rPr>
        <w:t>110kV</w:t>
      </w:r>
      <w:r>
        <w:rPr>
          <w:rFonts w:hint="eastAsia"/>
          <w:color w:val="auto"/>
          <w:sz w:val="24"/>
        </w:rPr>
        <w:t>～</w:t>
      </w:r>
      <w:r>
        <w:rPr>
          <w:color w:val="auto"/>
          <w:sz w:val="24"/>
        </w:rPr>
        <w:t xml:space="preserve">750kV </w:t>
      </w:r>
      <w:r>
        <w:rPr>
          <w:rFonts w:hint="eastAsia"/>
          <w:color w:val="auto"/>
          <w:sz w:val="24"/>
        </w:rPr>
        <w:t>架空输电线路设计规范》（</w:t>
      </w:r>
      <w:r>
        <w:rPr>
          <w:color w:val="auto"/>
          <w:sz w:val="24"/>
        </w:rPr>
        <w:t>GB50545-2010</w:t>
      </w:r>
      <w:r>
        <w:rPr>
          <w:rFonts w:hint="eastAsia"/>
          <w:color w:val="auto"/>
          <w:sz w:val="24"/>
        </w:rPr>
        <w:t>）规定，</w:t>
      </w:r>
      <w:r>
        <w:rPr>
          <w:color w:val="auto"/>
          <w:sz w:val="24"/>
        </w:rPr>
        <w:t xml:space="preserve">110kV </w:t>
      </w:r>
      <w:r>
        <w:rPr>
          <w:rFonts w:hint="eastAsia"/>
          <w:color w:val="auto"/>
          <w:sz w:val="24"/>
        </w:rPr>
        <w:t>输电线路在居民区、非居民区最大计算弧垂情况下分别不应小于</w:t>
      </w:r>
      <w:r>
        <w:rPr>
          <w:color w:val="auto"/>
          <w:sz w:val="24"/>
        </w:rPr>
        <w:t>7m</w:t>
      </w:r>
      <w:r>
        <w:rPr>
          <w:rFonts w:hint="eastAsia"/>
          <w:color w:val="auto"/>
          <w:sz w:val="24"/>
        </w:rPr>
        <w:t>、</w:t>
      </w:r>
      <w:r>
        <w:rPr>
          <w:color w:val="auto"/>
          <w:sz w:val="24"/>
        </w:rPr>
        <w:t>6m</w:t>
      </w:r>
      <w:r>
        <w:rPr>
          <w:rFonts w:hint="eastAsia"/>
          <w:color w:val="auto"/>
          <w:sz w:val="24"/>
        </w:rPr>
        <w:t>，跨越耐火屋顶建筑物时，须保证</w:t>
      </w:r>
      <w:r>
        <w:rPr>
          <w:color w:val="auto"/>
          <w:sz w:val="24"/>
        </w:rPr>
        <w:t>110kV</w:t>
      </w:r>
      <w:r>
        <w:rPr>
          <w:rFonts w:hint="eastAsia"/>
          <w:color w:val="auto"/>
          <w:sz w:val="24"/>
        </w:rPr>
        <w:t>导线在最大计算弧垂情况下，与建筑物之间的最小垂直距离不小于</w:t>
      </w:r>
      <w:r>
        <w:rPr>
          <w:color w:val="auto"/>
          <w:sz w:val="24"/>
        </w:rPr>
        <w:t>5m</w:t>
      </w:r>
      <w:r>
        <w:rPr>
          <w:rFonts w:hint="eastAsia"/>
          <w:color w:val="auto"/>
          <w:sz w:val="24"/>
        </w:rPr>
        <w:t>。根据现场踏勘可知，本工程</w:t>
      </w:r>
      <w:r>
        <w:rPr>
          <w:color w:val="auto"/>
          <w:sz w:val="24"/>
        </w:rPr>
        <w:t>110kV</w:t>
      </w:r>
      <w:r>
        <w:rPr>
          <w:rFonts w:hint="eastAsia"/>
          <w:color w:val="auto"/>
          <w:sz w:val="24"/>
        </w:rPr>
        <w:t>线路未跨越居民区和房屋，</w:t>
      </w:r>
      <w:r>
        <w:rPr>
          <w:rFonts w:hint="eastAsia"/>
          <w:color w:val="auto"/>
          <w:sz w:val="24"/>
          <w:szCs w:val="24"/>
        </w:rPr>
        <w:t>具体预测参数如表</w:t>
      </w:r>
      <w:r>
        <w:rPr>
          <w:color w:val="auto"/>
          <w:sz w:val="24"/>
          <w:szCs w:val="24"/>
        </w:rPr>
        <w:t>10</w:t>
      </w:r>
      <w:r>
        <w:rPr>
          <w:rFonts w:hint="eastAsia"/>
          <w:color w:val="auto"/>
          <w:sz w:val="24"/>
          <w:szCs w:val="24"/>
        </w:rPr>
        <w:t>所示。</w:t>
      </w:r>
    </w:p>
    <w:p>
      <w:pPr>
        <w:pStyle w:val="23"/>
        <w:keepNext/>
        <w:spacing w:before="0" w:after="0"/>
        <w:ind w:firstLine="482"/>
        <w:jc w:val="center"/>
        <w:rPr>
          <w:rFonts w:ascii="Times New Roman" w:hAnsi="Times New Roman" w:cs="Times New Roman"/>
          <w:b/>
          <w:color w:val="auto"/>
          <w:szCs w:val="24"/>
        </w:rPr>
      </w:pPr>
      <w:r>
        <w:rPr>
          <w:rFonts w:hint="eastAsia" w:ascii="Times New Roman" w:hAnsi="Times New Roman" w:cs="Times New Roman"/>
          <w:b/>
          <w:color w:val="auto"/>
          <w:szCs w:val="24"/>
        </w:rPr>
        <w:t>表</w:t>
      </w:r>
      <w:r>
        <w:rPr>
          <w:rFonts w:ascii="Times New Roman" w:hAnsi="Times New Roman" w:cs="Times New Roman"/>
          <w:b/>
          <w:color w:val="auto"/>
          <w:szCs w:val="24"/>
        </w:rPr>
        <w:t xml:space="preserve">10   </w:t>
      </w:r>
      <w:r>
        <w:rPr>
          <w:rFonts w:hint="eastAsia" w:ascii="Times New Roman" w:hAnsi="Times New Roman" w:cs="Times New Roman"/>
          <w:b/>
          <w:color w:val="auto"/>
          <w:szCs w:val="24"/>
        </w:rPr>
        <w:t>本工程架空线路工频电磁场预测参数</w:t>
      </w:r>
    </w:p>
    <w:tbl>
      <w:tblPr>
        <w:tblStyle w:val="8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605"/>
        <w:gridCol w:w="930"/>
        <w:gridCol w:w="3311"/>
        <w:gridCol w:w="33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1" w:hRule="atLeast"/>
        </w:trPr>
        <w:tc>
          <w:tcPr>
            <w:tcW w:w="1384" w:type="pct"/>
            <w:gridSpan w:val="2"/>
            <w:shd w:val="clear" w:color="auto" w:fill="auto"/>
            <w:vAlign w:val="center"/>
          </w:tcPr>
          <w:p>
            <w:pPr>
              <w:pStyle w:val="174"/>
              <w:rPr>
                <w:rFonts w:ascii="Times New Roman" w:hAnsi="Times New Roman" w:cs="Times New Roman"/>
                <w:b/>
                <w:color w:val="auto"/>
                <w:szCs w:val="21"/>
              </w:rPr>
            </w:pPr>
            <w:r>
              <w:rPr>
                <w:rFonts w:hint="eastAsia" w:ascii="Times New Roman" w:hAnsi="Times New Roman" w:cs="Times New Roman"/>
                <w:b/>
                <w:color w:val="auto"/>
                <w:szCs w:val="21"/>
              </w:rPr>
              <w:t>线路回路数</w:t>
            </w:r>
          </w:p>
        </w:tc>
        <w:tc>
          <w:tcPr>
            <w:tcW w:w="1808" w:type="pct"/>
            <w:shd w:val="clear" w:color="auto" w:fill="auto"/>
            <w:vAlign w:val="center"/>
          </w:tcPr>
          <w:p>
            <w:pPr>
              <w:pStyle w:val="174"/>
              <w:rPr>
                <w:rFonts w:ascii="Times New Roman" w:hAnsi="Times New Roman" w:cs="Times New Roman"/>
                <w:b/>
                <w:color w:val="auto"/>
                <w:szCs w:val="21"/>
              </w:rPr>
            </w:pPr>
            <w:r>
              <w:rPr>
                <w:rFonts w:ascii="Times New Roman" w:hAnsi="Times New Roman" w:cs="Times New Roman"/>
                <w:b/>
                <w:color w:val="auto"/>
                <w:szCs w:val="21"/>
              </w:rPr>
              <w:t xml:space="preserve">110kV </w:t>
            </w:r>
            <w:r>
              <w:rPr>
                <w:rFonts w:hint="eastAsia" w:ascii="Times New Roman" w:hAnsi="Times New Roman" w:cs="Times New Roman"/>
                <w:b/>
                <w:color w:val="auto"/>
                <w:szCs w:val="21"/>
              </w:rPr>
              <w:t>单回线路</w:t>
            </w:r>
          </w:p>
        </w:tc>
        <w:tc>
          <w:tcPr>
            <w:tcW w:w="1808" w:type="pct"/>
            <w:vAlign w:val="center"/>
          </w:tcPr>
          <w:p>
            <w:pPr>
              <w:pStyle w:val="174"/>
              <w:rPr>
                <w:rFonts w:hint="eastAsia" w:ascii="Times New Roman" w:hAnsi="Times New Roman" w:cs="Times New Roman"/>
                <w:b/>
                <w:color w:val="auto"/>
                <w:szCs w:val="21"/>
              </w:rPr>
            </w:pPr>
            <w:r>
              <w:rPr>
                <w:rFonts w:hint="eastAsia" w:ascii="Times New Roman" w:hAnsi="Times New Roman" w:cs="Times New Roman"/>
                <w:b/>
                <w:color w:val="auto"/>
                <w:szCs w:val="21"/>
              </w:rPr>
              <w:t>主要塔型图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48" w:hRule="atLeast"/>
        </w:trPr>
        <w:tc>
          <w:tcPr>
            <w:tcW w:w="1384" w:type="pct"/>
            <w:gridSpan w:val="2"/>
            <w:shd w:val="clear" w:color="auto" w:fill="auto"/>
            <w:vAlign w:val="center"/>
          </w:tcPr>
          <w:p>
            <w:pPr>
              <w:pStyle w:val="174"/>
              <w:rPr>
                <w:rFonts w:ascii="Times New Roman" w:hAnsi="Times New Roman" w:cs="Times New Roman"/>
                <w:color w:val="auto"/>
                <w:szCs w:val="21"/>
              </w:rPr>
            </w:pPr>
            <w:r>
              <w:rPr>
                <w:rFonts w:hint="eastAsia" w:ascii="Times New Roman" w:hAnsi="Times New Roman" w:cs="Times New Roman"/>
                <w:color w:val="auto"/>
                <w:szCs w:val="21"/>
              </w:rPr>
              <w:t>杆塔型式</w:t>
            </w:r>
          </w:p>
        </w:tc>
        <w:tc>
          <w:tcPr>
            <w:tcW w:w="1808" w:type="pct"/>
            <w:shd w:val="clear" w:color="auto" w:fill="auto"/>
            <w:vAlign w:val="center"/>
          </w:tcPr>
          <w:p>
            <w:pPr>
              <w:pStyle w:val="174"/>
              <w:rPr>
                <w:rFonts w:ascii="Times New Roman" w:hAnsi="Times New Roman" w:cs="Times New Roman"/>
                <w:color w:val="auto"/>
                <w:szCs w:val="21"/>
              </w:rPr>
            </w:pPr>
            <w:r>
              <w:rPr>
                <w:rFonts w:ascii="Times New Roman" w:hAnsi="Times New Roman" w:cs="Times New Roman"/>
                <w:color w:val="auto"/>
                <w:kern w:val="0"/>
                <w:szCs w:val="21"/>
              </w:rPr>
              <w:t>1D9-SDJC</w:t>
            </w:r>
          </w:p>
        </w:tc>
        <w:tc>
          <w:tcPr>
            <w:tcW w:w="1808" w:type="pct"/>
            <w:vMerge w:val="restart"/>
            <w:vAlign w:val="center"/>
          </w:tcPr>
          <w:p>
            <w:pPr>
              <w:pStyle w:val="174"/>
              <w:rPr>
                <w:rFonts w:ascii="Times New Roman" w:hAnsi="Times New Roman" w:cs="Times New Roman"/>
                <w:color w:val="auto"/>
                <w:kern w:val="0"/>
                <w:szCs w:val="21"/>
              </w:rPr>
            </w:pPr>
            <w:r>
              <w:rPr>
                <w:rFonts w:ascii="Times New Roman" w:hAnsi="Times New Roman" w:cs="Times New Roman"/>
                <w:color w:val="auto"/>
                <w:kern w:val="0"/>
                <w:szCs w:val="21"/>
              </w:rPr>
              <w:drawing>
                <wp:inline distT="0" distB="0" distL="0" distR="0">
                  <wp:extent cx="1994535" cy="4651375"/>
                  <wp:effectExtent l="19050" t="0" r="5475" b="0"/>
                  <wp:docPr id="1"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6"/>
                          <pic:cNvPicPr>
                            <a:picLocks noChangeAspect="1" noChangeArrowheads="1"/>
                          </pic:cNvPicPr>
                        </pic:nvPicPr>
                        <pic:blipFill>
                          <a:blip r:embed="rId133" cstate="print"/>
                          <a:srcRect/>
                          <a:stretch>
                            <a:fillRect/>
                          </a:stretch>
                        </pic:blipFill>
                        <pic:spPr>
                          <a:xfrm>
                            <a:off x="0" y="0"/>
                            <a:ext cx="1994535" cy="4650953"/>
                          </a:xfrm>
                          <a:prstGeom prst="rect">
                            <a:avLst/>
                          </a:prstGeom>
                          <a:noFill/>
                          <a:ln w="9525">
                            <a:noFill/>
                            <a:miter lim="800000"/>
                            <a:headEnd/>
                            <a:tailEnd/>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48" w:hRule="atLeast"/>
        </w:trPr>
        <w:tc>
          <w:tcPr>
            <w:tcW w:w="1384" w:type="pct"/>
            <w:gridSpan w:val="2"/>
            <w:shd w:val="clear" w:color="auto" w:fill="auto"/>
            <w:vAlign w:val="center"/>
          </w:tcPr>
          <w:p>
            <w:pPr>
              <w:pStyle w:val="174"/>
              <w:rPr>
                <w:rFonts w:ascii="Times New Roman" w:hAnsi="Times New Roman" w:cs="Times New Roman"/>
                <w:color w:val="auto"/>
                <w:szCs w:val="21"/>
              </w:rPr>
            </w:pPr>
            <w:r>
              <w:rPr>
                <w:rFonts w:hint="eastAsia" w:ascii="Times New Roman" w:hAnsi="Times New Roman" w:cs="Times New Roman"/>
                <w:color w:val="auto"/>
                <w:szCs w:val="21"/>
              </w:rPr>
              <w:t>导线类型</w:t>
            </w:r>
          </w:p>
        </w:tc>
        <w:tc>
          <w:tcPr>
            <w:tcW w:w="1808" w:type="pct"/>
            <w:shd w:val="clear" w:color="auto" w:fill="auto"/>
            <w:vAlign w:val="center"/>
          </w:tcPr>
          <w:p>
            <w:pPr>
              <w:pStyle w:val="174"/>
              <w:rPr>
                <w:rFonts w:ascii="Times New Roman" w:hAnsi="Times New Roman" w:cs="Times New Roman"/>
                <w:color w:val="auto"/>
                <w:szCs w:val="21"/>
              </w:rPr>
            </w:pPr>
            <w:r>
              <w:rPr>
                <w:rFonts w:ascii="Times New Roman" w:hAnsi="Times New Roman" w:cs="Times New Roman" w:eastAsiaTheme="minorEastAsia"/>
                <w:color w:val="auto"/>
                <w:szCs w:val="21"/>
              </w:rPr>
              <w:t>JL3/G1A-300/40</w:t>
            </w:r>
          </w:p>
        </w:tc>
        <w:tc>
          <w:tcPr>
            <w:tcW w:w="1808" w:type="pct"/>
            <w:vMerge w:val="continue"/>
            <w:vAlign w:val="center"/>
          </w:tcPr>
          <w:p>
            <w:pPr>
              <w:pStyle w:val="174"/>
              <w:rPr>
                <w:rFonts w:ascii="Times New Roman" w:hAnsi="Times New Roman" w:cs="Times New Roman" w:eastAsiaTheme="minorEastAsia"/>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48" w:hRule="atLeast"/>
        </w:trPr>
        <w:tc>
          <w:tcPr>
            <w:tcW w:w="1384" w:type="pct"/>
            <w:gridSpan w:val="2"/>
            <w:shd w:val="clear" w:color="auto" w:fill="auto"/>
            <w:vAlign w:val="center"/>
          </w:tcPr>
          <w:p>
            <w:pPr>
              <w:pStyle w:val="174"/>
              <w:rPr>
                <w:rFonts w:ascii="Times New Roman" w:hAnsi="Times New Roman" w:cs="Times New Roman"/>
                <w:color w:val="auto"/>
                <w:szCs w:val="21"/>
              </w:rPr>
            </w:pPr>
            <w:r>
              <w:rPr>
                <w:rFonts w:hint="eastAsia" w:ascii="Times New Roman" w:hAnsi="Times New Roman" w:cs="Times New Roman"/>
                <w:color w:val="auto"/>
                <w:szCs w:val="21"/>
              </w:rPr>
              <w:t>导线半径（</w:t>
            </w:r>
            <w:r>
              <w:rPr>
                <w:rFonts w:ascii="Times New Roman" w:hAnsi="Times New Roman" w:cs="Times New Roman"/>
                <w:color w:val="auto"/>
                <w:szCs w:val="21"/>
              </w:rPr>
              <w:t>mm</w:t>
            </w:r>
            <w:r>
              <w:rPr>
                <w:rFonts w:hint="eastAsia" w:ascii="Times New Roman" w:hAnsi="Times New Roman" w:cs="Times New Roman"/>
                <w:color w:val="auto"/>
                <w:szCs w:val="21"/>
              </w:rPr>
              <w:t>）</w:t>
            </w:r>
          </w:p>
        </w:tc>
        <w:tc>
          <w:tcPr>
            <w:tcW w:w="1808" w:type="pct"/>
            <w:shd w:val="clear" w:color="auto" w:fill="auto"/>
            <w:vAlign w:val="center"/>
          </w:tcPr>
          <w:p>
            <w:pPr>
              <w:pStyle w:val="174"/>
              <w:rPr>
                <w:rFonts w:ascii="Times New Roman" w:hAnsi="Times New Roman" w:cs="Times New Roman"/>
                <w:color w:val="auto"/>
                <w:szCs w:val="21"/>
              </w:rPr>
            </w:pPr>
            <w:r>
              <w:rPr>
                <w:rFonts w:ascii="Times New Roman" w:hAnsi="Times New Roman" w:cs="Times New Roman"/>
                <w:color w:val="auto"/>
                <w:szCs w:val="21"/>
              </w:rPr>
              <w:t>11.97</w:t>
            </w:r>
          </w:p>
        </w:tc>
        <w:tc>
          <w:tcPr>
            <w:tcW w:w="1808" w:type="pct"/>
            <w:vMerge w:val="continue"/>
            <w:vAlign w:val="center"/>
          </w:tcPr>
          <w:p>
            <w:pPr>
              <w:pStyle w:val="174"/>
              <w:rPr>
                <w:rFonts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48" w:hRule="atLeast"/>
        </w:trPr>
        <w:tc>
          <w:tcPr>
            <w:tcW w:w="1384" w:type="pct"/>
            <w:gridSpan w:val="2"/>
            <w:shd w:val="clear" w:color="auto" w:fill="auto"/>
            <w:vAlign w:val="center"/>
          </w:tcPr>
          <w:p>
            <w:pPr>
              <w:pStyle w:val="174"/>
              <w:rPr>
                <w:rFonts w:ascii="Times New Roman" w:hAnsi="Times New Roman" w:cs="Times New Roman"/>
                <w:color w:val="auto"/>
                <w:szCs w:val="21"/>
              </w:rPr>
            </w:pPr>
            <w:r>
              <w:rPr>
                <w:rFonts w:hint="eastAsia" w:ascii="Times New Roman" w:hAnsi="Times New Roman" w:cs="Times New Roman"/>
                <w:color w:val="auto"/>
                <w:szCs w:val="21"/>
              </w:rPr>
              <w:t>额定电流（</w:t>
            </w:r>
            <w:r>
              <w:rPr>
                <w:rFonts w:ascii="Times New Roman" w:hAnsi="Times New Roman" w:cs="Times New Roman"/>
                <w:color w:val="auto"/>
                <w:szCs w:val="21"/>
              </w:rPr>
              <w:t>A</w:t>
            </w:r>
            <w:r>
              <w:rPr>
                <w:rFonts w:hint="eastAsia" w:ascii="Times New Roman" w:hAnsi="Times New Roman" w:cs="Times New Roman"/>
                <w:color w:val="auto"/>
                <w:szCs w:val="21"/>
              </w:rPr>
              <w:t>）</w:t>
            </w:r>
          </w:p>
        </w:tc>
        <w:tc>
          <w:tcPr>
            <w:tcW w:w="1808" w:type="pct"/>
            <w:shd w:val="clear" w:color="auto" w:fill="auto"/>
            <w:vAlign w:val="center"/>
          </w:tcPr>
          <w:p>
            <w:pPr>
              <w:pStyle w:val="174"/>
              <w:rPr>
                <w:rFonts w:ascii="Times New Roman" w:hAnsi="Times New Roman" w:cs="Times New Roman"/>
                <w:color w:val="auto"/>
                <w:szCs w:val="21"/>
              </w:rPr>
            </w:pPr>
            <w:r>
              <w:rPr>
                <w:rFonts w:ascii="Times New Roman" w:hAnsi="Times New Roman" w:cs="Times New Roman"/>
                <w:color w:val="auto"/>
                <w:szCs w:val="21"/>
              </w:rPr>
              <w:t>261.9</w:t>
            </w:r>
          </w:p>
        </w:tc>
        <w:tc>
          <w:tcPr>
            <w:tcW w:w="1808" w:type="pct"/>
            <w:vMerge w:val="continue"/>
            <w:vAlign w:val="center"/>
          </w:tcPr>
          <w:p>
            <w:pPr>
              <w:pStyle w:val="174"/>
              <w:rPr>
                <w:rFonts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48" w:hRule="atLeast"/>
        </w:trPr>
        <w:tc>
          <w:tcPr>
            <w:tcW w:w="1384" w:type="pct"/>
            <w:gridSpan w:val="2"/>
            <w:shd w:val="clear" w:color="auto" w:fill="auto"/>
            <w:vAlign w:val="center"/>
          </w:tcPr>
          <w:p>
            <w:pPr>
              <w:pStyle w:val="174"/>
              <w:rPr>
                <w:rFonts w:ascii="Times New Roman" w:hAnsi="Times New Roman" w:cs="Times New Roman"/>
                <w:color w:val="auto"/>
                <w:szCs w:val="21"/>
              </w:rPr>
            </w:pPr>
            <w:r>
              <w:rPr>
                <w:rFonts w:hint="eastAsia" w:ascii="Times New Roman" w:hAnsi="Times New Roman" w:cs="Times New Roman"/>
                <w:color w:val="auto"/>
                <w:szCs w:val="21"/>
              </w:rPr>
              <w:t>相序排列</w:t>
            </w:r>
          </w:p>
        </w:tc>
        <w:tc>
          <w:tcPr>
            <w:tcW w:w="1808" w:type="pct"/>
            <w:shd w:val="clear" w:color="auto" w:fill="auto"/>
            <w:vAlign w:val="center"/>
          </w:tcPr>
          <w:p>
            <w:pPr>
              <w:pStyle w:val="174"/>
              <w:rPr>
                <w:rFonts w:ascii="Times New Roman" w:hAnsi="Times New Roman" w:cs="Times New Roman"/>
                <w:color w:val="auto"/>
                <w:szCs w:val="21"/>
              </w:rPr>
            </w:pPr>
            <w:r>
              <w:rPr>
                <w:rFonts w:ascii="Times New Roman" w:hAnsi="Times New Roman" w:cs="Times New Roman"/>
                <w:color w:val="auto"/>
                <w:szCs w:val="21"/>
              </w:rPr>
              <w:t>A (4.8</w:t>
            </w:r>
            <w:r>
              <w:rPr>
                <w:rFonts w:hint="eastAsia" w:ascii="Times New Roman" w:hAnsi="Times New Roman" w:cs="Times New Roman"/>
                <w:color w:val="auto"/>
                <w:szCs w:val="21"/>
              </w:rPr>
              <w:t>、</w:t>
            </w:r>
            <w:r>
              <w:rPr>
                <w:rFonts w:ascii="Times New Roman" w:hAnsi="Times New Roman" w:cs="Times New Roman"/>
                <w:color w:val="auto"/>
                <w:szCs w:val="21"/>
              </w:rPr>
              <w:t>16.9)</w:t>
            </w:r>
          </w:p>
          <w:p>
            <w:pPr>
              <w:pStyle w:val="174"/>
              <w:rPr>
                <w:rFonts w:ascii="Times New Roman" w:hAnsi="Times New Roman" w:cs="Times New Roman"/>
                <w:color w:val="auto"/>
                <w:szCs w:val="21"/>
              </w:rPr>
            </w:pPr>
            <w:r>
              <w:rPr>
                <w:rFonts w:ascii="Times New Roman" w:hAnsi="Times New Roman" w:cs="Times New Roman"/>
                <w:color w:val="auto"/>
                <w:szCs w:val="21"/>
              </w:rPr>
              <w:t>B</w:t>
            </w:r>
            <w:r>
              <w:rPr>
                <w:rFonts w:hint="eastAsia" w:ascii="Times New Roman" w:hAnsi="Times New Roman" w:cs="Times New Roman"/>
                <w:color w:val="auto"/>
                <w:szCs w:val="21"/>
              </w:rPr>
              <w:t>（</w:t>
            </w:r>
            <w:r>
              <w:rPr>
                <w:rFonts w:ascii="Times New Roman" w:hAnsi="Times New Roman" w:cs="Times New Roman"/>
                <w:color w:val="auto"/>
                <w:szCs w:val="21"/>
              </w:rPr>
              <w:t>5.8</w:t>
            </w:r>
            <w:r>
              <w:rPr>
                <w:rFonts w:hint="eastAsia" w:ascii="Times New Roman" w:hAnsi="Times New Roman" w:cs="Times New Roman"/>
                <w:color w:val="auto"/>
                <w:szCs w:val="21"/>
              </w:rPr>
              <w:t>、</w:t>
            </w:r>
            <w:r>
              <w:rPr>
                <w:rFonts w:ascii="Times New Roman" w:hAnsi="Times New Roman" w:cs="Times New Roman"/>
                <w:color w:val="auto"/>
                <w:szCs w:val="21"/>
              </w:rPr>
              <w:t>11.2</w:t>
            </w:r>
            <w:r>
              <w:rPr>
                <w:rFonts w:hint="eastAsia" w:ascii="Times New Roman" w:hAnsi="Times New Roman" w:cs="Times New Roman"/>
                <w:color w:val="auto"/>
                <w:szCs w:val="21"/>
              </w:rPr>
              <w:t>）</w:t>
            </w:r>
          </w:p>
          <w:p>
            <w:pPr>
              <w:pStyle w:val="174"/>
              <w:rPr>
                <w:rFonts w:ascii="Times New Roman" w:hAnsi="Times New Roman" w:eastAsia="黑体" w:cs="Times New Roman"/>
                <w:color w:val="auto"/>
                <w:sz w:val="24"/>
                <w:szCs w:val="21"/>
              </w:rPr>
            </w:pPr>
            <w:r>
              <w:rPr>
                <w:rFonts w:ascii="Times New Roman" w:hAnsi="Times New Roman" w:cs="Times New Roman"/>
                <w:color w:val="auto"/>
                <w:szCs w:val="21"/>
              </w:rPr>
              <w:t>C</w:t>
            </w:r>
            <w:r>
              <w:rPr>
                <w:rFonts w:hint="eastAsia" w:ascii="Times New Roman" w:hAnsi="Times New Roman" w:cs="Times New Roman"/>
                <w:color w:val="auto"/>
                <w:szCs w:val="21"/>
              </w:rPr>
              <w:t>（</w:t>
            </w:r>
            <w:r>
              <w:rPr>
                <w:rFonts w:ascii="Times New Roman" w:hAnsi="Times New Roman" w:cs="Times New Roman"/>
                <w:color w:val="auto"/>
                <w:szCs w:val="21"/>
              </w:rPr>
              <w:t>4.8</w:t>
            </w:r>
            <w:r>
              <w:rPr>
                <w:rFonts w:hint="eastAsia" w:ascii="Times New Roman" w:hAnsi="Times New Roman" w:cs="Times New Roman"/>
                <w:color w:val="auto"/>
                <w:szCs w:val="21"/>
              </w:rPr>
              <w:t>、</w:t>
            </w:r>
            <w:r>
              <w:rPr>
                <w:rFonts w:ascii="Times New Roman" w:hAnsi="Times New Roman" w:cs="Times New Roman"/>
                <w:color w:val="auto"/>
                <w:szCs w:val="21"/>
              </w:rPr>
              <w:t>6</w:t>
            </w:r>
            <w:r>
              <w:rPr>
                <w:rFonts w:hint="eastAsia" w:ascii="Times New Roman" w:hAnsi="Times New Roman" w:cs="Times New Roman"/>
                <w:color w:val="auto"/>
                <w:szCs w:val="21"/>
              </w:rPr>
              <w:t>）</w:t>
            </w:r>
          </w:p>
        </w:tc>
        <w:tc>
          <w:tcPr>
            <w:tcW w:w="1808" w:type="pct"/>
            <w:vMerge w:val="continue"/>
            <w:vAlign w:val="center"/>
          </w:tcPr>
          <w:p>
            <w:pPr>
              <w:pStyle w:val="174"/>
              <w:rPr>
                <w:rFonts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48" w:hRule="atLeast"/>
        </w:trPr>
        <w:tc>
          <w:tcPr>
            <w:tcW w:w="876" w:type="pct"/>
            <w:shd w:val="clear" w:color="auto" w:fill="auto"/>
            <w:vAlign w:val="center"/>
          </w:tcPr>
          <w:p>
            <w:pPr>
              <w:pStyle w:val="174"/>
              <w:rPr>
                <w:rFonts w:ascii="Times New Roman" w:hAnsi="Times New Roman" w:cs="Times New Roman"/>
                <w:color w:val="auto"/>
                <w:szCs w:val="21"/>
              </w:rPr>
            </w:pPr>
            <w:r>
              <w:rPr>
                <w:rFonts w:hint="eastAsia" w:ascii="Times New Roman" w:hAnsi="Times New Roman" w:cs="Times New Roman"/>
                <w:color w:val="auto"/>
                <w:szCs w:val="21"/>
              </w:rPr>
              <w:t>导线间距（</w:t>
            </w:r>
            <w:r>
              <w:rPr>
                <w:rFonts w:ascii="Times New Roman" w:hAnsi="Times New Roman" w:cs="Times New Roman"/>
                <w:color w:val="auto"/>
                <w:szCs w:val="21"/>
              </w:rPr>
              <w:t>m</w:t>
            </w:r>
            <w:r>
              <w:rPr>
                <w:rFonts w:hint="eastAsia" w:ascii="Times New Roman" w:hAnsi="Times New Roman" w:cs="Times New Roman"/>
                <w:color w:val="auto"/>
                <w:szCs w:val="21"/>
              </w:rPr>
              <w:t>）</w:t>
            </w:r>
          </w:p>
        </w:tc>
        <w:tc>
          <w:tcPr>
            <w:tcW w:w="508" w:type="pct"/>
            <w:shd w:val="clear" w:color="auto" w:fill="auto"/>
            <w:vAlign w:val="center"/>
          </w:tcPr>
          <w:p>
            <w:pPr>
              <w:pStyle w:val="174"/>
              <w:rPr>
                <w:rFonts w:ascii="Times New Roman" w:hAnsi="Times New Roman" w:cs="Times New Roman"/>
                <w:color w:val="auto"/>
                <w:szCs w:val="21"/>
              </w:rPr>
            </w:pPr>
            <w:r>
              <w:rPr>
                <w:rFonts w:hint="eastAsia" w:ascii="Times New Roman" w:hAnsi="Times New Roman" w:cs="Times New Roman"/>
                <w:color w:val="auto"/>
                <w:szCs w:val="21"/>
              </w:rPr>
              <w:t>垂直</w:t>
            </w:r>
          </w:p>
        </w:tc>
        <w:tc>
          <w:tcPr>
            <w:tcW w:w="1808" w:type="pct"/>
            <w:shd w:val="clear" w:color="auto" w:fill="auto"/>
            <w:vAlign w:val="center"/>
          </w:tcPr>
          <w:p>
            <w:pPr>
              <w:pStyle w:val="174"/>
              <w:rPr>
                <w:rFonts w:ascii="Times New Roman" w:hAnsi="Times New Roman" w:cs="Times New Roman"/>
                <w:color w:val="auto"/>
                <w:szCs w:val="21"/>
              </w:rPr>
            </w:pPr>
            <w:r>
              <w:rPr>
                <w:rFonts w:hint="eastAsia" w:ascii="Times New Roman" w:hAnsi="Times New Roman" w:cs="Times New Roman"/>
                <w:color w:val="auto"/>
                <w:szCs w:val="21"/>
              </w:rPr>
              <w:t>上</w:t>
            </w:r>
            <w:r>
              <w:rPr>
                <w:rFonts w:ascii="Times New Roman" w:hAnsi="Times New Roman" w:cs="Times New Roman"/>
                <w:color w:val="auto"/>
                <w:szCs w:val="21"/>
              </w:rPr>
              <w:t>/</w:t>
            </w:r>
            <w:r>
              <w:rPr>
                <w:rFonts w:hint="eastAsia" w:ascii="Times New Roman" w:hAnsi="Times New Roman" w:cs="Times New Roman"/>
                <w:color w:val="auto"/>
                <w:szCs w:val="21"/>
              </w:rPr>
              <w:t>下：</w:t>
            </w:r>
            <w:r>
              <w:rPr>
                <w:rFonts w:ascii="Times New Roman" w:hAnsi="Times New Roman" w:cs="Times New Roman"/>
                <w:color w:val="auto"/>
                <w:szCs w:val="21"/>
              </w:rPr>
              <w:t>5.7</w:t>
            </w:r>
          </w:p>
        </w:tc>
        <w:tc>
          <w:tcPr>
            <w:tcW w:w="1808" w:type="pct"/>
            <w:vMerge w:val="continue"/>
            <w:vAlign w:val="center"/>
          </w:tcPr>
          <w:p>
            <w:pPr>
              <w:pStyle w:val="174"/>
              <w:rPr>
                <w:rFonts w:hint="eastAsia"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48" w:hRule="atLeast"/>
        </w:trPr>
        <w:tc>
          <w:tcPr>
            <w:tcW w:w="1384" w:type="pct"/>
            <w:gridSpan w:val="2"/>
            <w:shd w:val="clear" w:color="auto" w:fill="auto"/>
            <w:vAlign w:val="center"/>
          </w:tcPr>
          <w:p>
            <w:pPr>
              <w:pStyle w:val="174"/>
              <w:rPr>
                <w:rFonts w:ascii="Times New Roman" w:hAnsi="Times New Roman" w:cs="Times New Roman"/>
                <w:color w:val="auto"/>
                <w:szCs w:val="21"/>
              </w:rPr>
            </w:pPr>
            <w:r>
              <w:rPr>
                <w:rFonts w:hint="eastAsia" w:ascii="Times New Roman" w:hAnsi="Times New Roman" w:cs="Times New Roman"/>
                <w:color w:val="auto"/>
                <w:szCs w:val="21"/>
              </w:rPr>
              <w:t>底层导线对地高度（</w:t>
            </w:r>
            <w:r>
              <w:rPr>
                <w:rFonts w:ascii="Times New Roman" w:hAnsi="Times New Roman" w:cs="Times New Roman"/>
                <w:color w:val="auto"/>
                <w:szCs w:val="21"/>
              </w:rPr>
              <w:t>m</w:t>
            </w:r>
            <w:r>
              <w:rPr>
                <w:rFonts w:hint="eastAsia" w:ascii="Times New Roman" w:hAnsi="Times New Roman" w:cs="Times New Roman"/>
                <w:color w:val="auto"/>
                <w:szCs w:val="21"/>
              </w:rPr>
              <w:t>）</w:t>
            </w:r>
          </w:p>
        </w:tc>
        <w:tc>
          <w:tcPr>
            <w:tcW w:w="1808" w:type="pct"/>
            <w:shd w:val="clear" w:color="auto" w:fill="auto"/>
            <w:vAlign w:val="center"/>
          </w:tcPr>
          <w:p>
            <w:pPr>
              <w:pStyle w:val="174"/>
              <w:rPr>
                <w:rFonts w:ascii="Times New Roman" w:hAnsi="Times New Roman" w:cs="Times New Roman"/>
                <w:color w:val="auto"/>
                <w:szCs w:val="21"/>
              </w:rPr>
            </w:pPr>
            <w:r>
              <w:rPr>
                <w:rFonts w:ascii="Times New Roman" w:hAnsi="Times New Roman" w:cs="Times New Roman"/>
                <w:color w:val="auto"/>
                <w:szCs w:val="21"/>
              </w:rPr>
              <w:t>6m</w:t>
            </w:r>
            <w:r>
              <w:rPr>
                <w:rFonts w:hint="eastAsia" w:ascii="Times New Roman" w:hAnsi="Times New Roman" w:cs="Times New Roman"/>
                <w:color w:val="auto"/>
                <w:szCs w:val="21"/>
              </w:rPr>
              <w:t>（非居民区）</w:t>
            </w:r>
          </w:p>
        </w:tc>
        <w:tc>
          <w:tcPr>
            <w:tcW w:w="1808" w:type="pct"/>
            <w:vMerge w:val="continue"/>
            <w:vAlign w:val="center"/>
          </w:tcPr>
          <w:p>
            <w:pPr>
              <w:pStyle w:val="174"/>
              <w:rPr>
                <w:rFonts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48" w:hRule="atLeast"/>
        </w:trPr>
        <w:tc>
          <w:tcPr>
            <w:tcW w:w="1384" w:type="pct"/>
            <w:gridSpan w:val="2"/>
            <w:shd w:val="clear" w:color="auto" w:fill="auto"/>
            <w:vAlign w:val="center"/>
          </w:tcPr>
          <w:p>
            <w:pPr>
              <w:pStyle w:val="174"/>
              <w:rPr>
                <w:rFonts w:ascii="Times New Roman" w:hAnsi="Times New Roman" w:cs="Times New Roman"/>
                <w:color w:val="auto"/>
                <w:szCs w:val="21"/>
              </w:rPr>
            </w:pPr>
            <w:r>
              <w:rPr>
                <w:rFonts w:hint="eastAsia" w:ascii="Times New Roman" w:hAnsi="Times New Roman" w:cs="Times New Roman"/>
                <w:color w:val="auto"/>
                <w:szCs w:val="21"/>
              </w:rPr>
              <w:t>预测点位高度</w:t>
            </w:r>
          </w:p>
        </w:tc>
        <w:tc>
          <w:tcPr>
            <w:tcW w:w="1808" w:type="pct"/>
            <w:shd w:val="clear" w:color="auto" w:fill="auto"/>
            <w:vAlign w:val="center"/>
          </w:tcPr>
          <w:p>
            <w:pPr>
              <w:pStyle w:val="174"/>
              <w:rPr>
                <w:rFonts w:ascii="Times New Roman" w:hAnsi="Times New Roman" w:cs="Times New Roman"/>
                <w:color w:val="auto"/>
                <w:szCs w:val="21"/>
              </w:rPr>
            </w:pPr>
            <w:r>
              <w:rPr>
                <w:rFonts w:hint="eastAsia" w:ascii="Times New Roman" w:hAnsi="Times New Roman" w:cs="Times New Roman"/>
                <w:color w:val="auto"/>
                <w:szCs w:val="21"/>
              </w:rPr>
              <w:t>地面</w:t>
            </w:r>
            <w:r>
              <w:rPr>
                <w:rFonts w:ascii="Times New Roman" w:hAnsi="Times New Roman" w:cs="Times New Roman"/>
                <w:color w:val="auto"/>
                <w:szCs w:val="21"/>
              </w:rPr>
              <w:t xml:space="preserve"> 1.5m</w:t>
            </w:r>
          </w:p>
        </w:tc>
        <w:tc>
          <w:tcPr>
            <w:tcW w:w="1808" w:type="pct"/>
            <w:vMerge w:val="continue"/>
            <w:vAlign w:val="center"/>
          </w:tcPr>
          <w:p>
            <w:pPr>
              <w:pStyle w:val="174"/>
              <w:rPr>
                <w:rFonts w:hint="eastAsia" w:ascii="Times New Roman" w:hAnsi="Times New Roman" w:cs="Times New Roman"/>
                <w:color w:val="auto"/>
                <w:szCs w:val="21"/>
              </w:rPr>
            </w:pPr>
          </w:p>
        </w:tc>
      </w:tr>
    </w:tbl>
    <w:p>
      <w:pPr>
        <w:spacing w:line="360" w:lineRule="auto"/>
        <w:ind w:firstLine="482"/>
        <w:rPr>
          <w:color w:val="auto"/>
          <w:sz w:val="24"/>
        </w:rPr>
      </w:pPr>
      <w:r>
        <w:rPr>
          <w:rFonts w:hint="eastAsia"/>
          <w:color w:val="auto"/>
          <w:sz w:val="24"/>
        </w:rPr>
        <w:t>（</w:t>
      </w:r>
      <w:r>
        <w:rPr>
          <w:color w:val="auto"/>
          <w:sz w:val="24"/>
        </w:rPr>
        <w:t>2</w:t>
      </w:r>
      <w:r>
        <w:rPr>
          <w:rFonts w:hint="eastAsia"/>
          <w:color w:val="auto"/>
          <w:sz w:val="24"/>
        </w:rPr>
        <w:t>）预测结果</w:t>
      </w:r>
    </w:p>
    <w:p>
      <w:pPr>
        <w:pStyle w:val="34"/>
        <w:spacing w:line="360" w:lineRule="auto"/>
        <w:ind w:firstLine="480" w:firstLineChars="200"/>
        <w:jc w:val="both"/>
        <w:rPr>
          <w:color w:val="auto"/>
          <w:szCs w:val="24"/>
        </w:rPr>
      </w:pPr>
      <w:r>
        <w:rPr>
          <w:rFonts w:hint="eastAsia"/>
          <w:color w:val="auto"/>
          <w:szCs w:val="24"/>
        </w:rPr>
        <w:t>本工程线路采用典型直线塔运行时产生的工频电场、工频磁场预测结果详见表</w:t>
      </w:r>
      <w:r>
        <w:rPr>
          <w:color w:val="auto"/>
          <w:szCs w:val="24"/>
        </w:rPr>
        <w:t>11</w:t>
      </w:r>
      <w:r>
        <w:rPr>
          <w:rFonts w:hint="eastAsia"/>
          <w:color w:val="auto"/>
          <w:szCs w:val="24"/>
        </w:rPr>
        <w:t>及图</w:t>
      </w:r>
      <w:r>
        <w:rPr>
          <w:color w:val="auto"/>
          <w:szCs w:val="24"/>
        </w:rPr>
        <w:t>4</w:t>
      </w:r>
      <w:r>
        <w:rPr>
          <w:rFonts w:hint="eastAsia"/>
          <w:color w:val="auto"/>
          <w:szCs w:val="24"/>
        </w:rPr>
        <w:t>、图</w:t>
      </w:r>
      <w:r>
        <w:rPr>
          <w:color w:val="auto"/>
          <w:szCs w:val="24"/>
        </w:rPr>
        <w:t>5</w:t>
      </w:r>
      <w:r>
        <w:rPr>
          <w:rFonts w:hint="eastAsia"/>
          <w:color w:val="auto"/>
          <w:szCs w:val="24"/>
        </w:rPr>
        <w:t>。</w:t>
      </w:r>
    </w:p>
    <w:p>
      <w:pPr>
        <w:pStyle w:val="23"/>
        <w:keepNext/>
        <w:spacing w:before="0" w:after="0"/>
        <w:ind w:firstLine="482"/>
        <w:jc w:val="center"/>
        <w:rPr>
          <w:rFonts w:ascii="Times New Roman" w:hAnsi="Times New Roman" w:cs="Times New Roman"/>
          <w:b/>
          <w:color w:val="auto"/>
          <w:szCs w:val="24"/>
        </w:rPr>
      </w:pPr>
      <w:r>
        <w:rPr>
          <w:rFonts w:hint="eastAsia" w:ascii="Times New Roman" w:hAnsi="Times New Roman" w:cs="Times New Roman"/>
          <w:b/>
          <w:color w:val="auto"/>
          <w:szCs w:val="24"/>
        </w:rPr>
        <w:t>表</w:t>
      </w:r>
      <w:r>
        <w:rPr>
          <w:rFonts w:ascii="Times New Roman" w:hAnsi="Times New Roman" w:cs="Times New Roman"/>
          <w:b/>
          <w:color w:val="auto"/>
          <w:szCs w:val="24"/>
        </w:rPr>
        <w:t>11   110kV</w:t>
      </w:r>
      <w:r>
        <w:rPr>
          <w:rFonts w:hint="eastAsia" w:ascii="Times New Roman" w:hAnsi="Times New Roman" w:cs="Times New Roman"/>
          <w:b/>
          <w:color w:val="auto"/>
          <w:szCs w:val="24"/>
        </w:rPr>
        <w:t>单回线路（典型杆塔）工频电磁场预测结果表</w:t>
      </w:r>
    </w:p>
    <w:tbl>
      <w:tblPr>
        <w:tblStyle w:val="8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3"/>
        <w:gridCol w:w="3681"/>
        <w:gridCol w:w="3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Merge w:val="restart"/>
            <w:vAlign w:val="center"/>
          </w:tcPr>
          <w:p>
            <w:pPr>
              <w:jc w:val="center"/>
              <w:rPr>
                <w:color w:val="auto"/>
                <w:szCs w:val="21"/>
              </w:rPr>
            </w:pPr>
            <w:r>
              <w:rPr>
                <w:rFonts w:hint="eastAsia"/>
                <w:color w:val="auto"/>
                <w:szCs w:val="21"/>
              </w:rPr>
              <w:t>距线路中心水平距离（</w:t>
            </w:r>
            <w:r>
              <w:rPr>
                <w:color w:val="auto"/>
                <w:szCs w:val="21"/>
              </w:rPr>
              <w:t>m</w:t>
            </w:r>
            <w:r>
              <w:rPr>
                <w:rFonts w:hint="eastAsia"/>
                <w:color w:val="auto"/>
                <w:szCs w:val="21"/>
              </w:rPr>
              <w:t>）</w:t>
            </w:r>
          </w:p>
        </w:tc>
        <w:tc>
          <w:tcPr>
            <w:tcW w:w="3939" w:type="pct"/>
            <w:gridSpan w:val="2"/>
            <w:vAlign w:val="center"/>
          </w:tcPr>
          <w:p>
            <w:pPr>
              <w:pStyle w:val="34"/>
              <w:rPr>
                <w:color w:val="auto"/>
                <w:sz w:val="21"/>
                <w:szCs w:val="21"/>
              </w:rPr>
            </w:pPr>
            <w:r>
              <w:rPr>
                <w:rFonts w:hint="eastAsia"/>
                <w:color w:val="auto"/>
                <w:sz w:val="21"/>
                <w:szCs w:val="21"/>
              </w:rPr>
              <w:t>非居民区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Merge w:val="continue"/>
            <w:vAlign w:val="center"/>
          </w:tcPr>
          <w:p>
            <w:pPr>
              <w:pStyle w:val="34"/>
              <w:rPr>
                <w:color w:val="auto"/>
                <w:sz w:val="21"/>
                <w:szCs w:val="21"/>
              </w:rPr>
            </w:pPr>
          </w:p>
        </w:tc>
        <w:tc>
          <w:tcPr>
            <w:tcW w:w="1970" w:type="pct"/>
            <w:vAlign w:val="center"/>
          </w:tcPr>
          <w:p>
            <w:pPr>
              <w:pStyle w:val="34"/>
              <w:rPr>
                <w:color w:val="auto"/>
                <w:sz w:val="21"/>
                <w:szCs w:val="21"/>
              </w:rPr>
            </w:pPr>
            <w:r>
              <w:rPr>
                <w:rFonts w:hint="eastAsia"/>
                <w:color w:val="auto"/>
                <w:sz w:val="21"/>
                <w:szCs w:val="21"/>
              </w:rPr>
              <w:t>工频电场（</w:t>
            </w:r>
            <w:r>
              <w:rPr>
                <w:color w:val="auto"/>
                <w:sz w:val="21"/>
                <w:szCs w:val="21"/>
              </w:rPr>
              <w:t>kV/m</w:t>
            </w:r>
            <w:r>
              <w:rPr>
                <w:rFonts w:hint="eastAsia"/>
                <w:color w:val="auto"/>
                <w:sz w:val="21"/>
                <w:szCs w:val="21"/>
              </w:rPr>
              <w:t>）</w:t>
            </w:r>
          </w:p>
        </w:tc>
        <w:tc>
          <w:tcPr>
            <w:tcW w:w="1969" w:type="pct"/>
            <w:vAlign w:val="center"/>
          </w:tcPr>
          <w:p>
            <w:pPr>
              <w:pStyle w:val="34"/>
              <w:rPr>
                <w:color w:val="auto"/>
                <w:sz w:val="21"/>
                <w:szCs w:val="21"/>
              </w:rPr>
            </w:pPr>
            <w:r>
              <w:rPr>
                <w:rFonts w:hint="eastAsia"/>
                <w:color w:val="auto"/>
                <w:sz w:val="21"/>
                <w:szCs w:val="21"/>
              </w:rPr>
              <w:t>工频磁场（</w:t>
            </w:r>
            <w:r>
              <w:rPr>
                <w:color w:val="auto"/>
                <w:sz w:val="21"/>
                <w:szCs w:val="21"/>
              </w:rPr>
              <w:t>μT</w:t>
            </w: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Merge w:val="continue"/>
            <w:vAlign w:val="center"/>
          </w:tcPr>
          <w:p>
            <w:pPr>
              <w:pStyle w:val="34"/>
              <w:rPr>
                <w:color w:val="auto"/>
                <w:sz w:val="21"/>
                <w:szCs w:val="21"/>
              </w:rPr>
            </w:pPr>
          </w:p>
        </w:tc>
        <w:tc>
          <w:tcPr>
            <w:tcW w:w="3939" w:type="pct"/>
            <w:gridSpan w:val="2"/>
            <w:vAlign w:val="center"/>
          </w:tcPr>
          <w:p>
            <w:pPr>
              <w:pStyle w:val="34"/>
              <w:rPr>
                <w:color w:val="auto"/>
                <w:sz w:val="21"/>
                <w:szCs w:val="21"/>
              </w:rPr>
            </w:pPr>
            <w:r>
              <w:rPr>
                <w:rFonts w:hint="eastAsia"/>
                <w:color w:val="auto"/>
                <w:sz w:val="21"/>
                <w:szCs w:val="21"/>
              </w:rPr>
              <w:t>导线对地</w:t>
            </w:r>
            <w:r>
              <w:rPr>
                <w:color w:val="auto"/>
                <w:sz w:val="21"/>
                <w:szCs w:val="21"/>
              </w:rPr>
              <w:t>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Merge w:val="continue"/>
            <w:vAlign w:val="center"/>
          </w:tcPr>
          <w:p>
            <w:pPr>
              <w:pStyle w:val="34"/>
              <w:rPr>
                <w:color w:val="auto"/>
                <w:sz w:val="21"/>
                <w:szCs w:val="21"/>
              </w:rPr>
            </w:pPr>
          </w:p>
        </w:tc>
        <w:tc>
          <w:tcPr>
            <w:tcW w:w="3939" w:type="pct"/>
            <w:gridSpan w:val="2"/>
            <w:vAlign w:val="center"/>
          </w:tcPr>
          <w:p>
            <w:pPr>
              <w:pStyle w:val="34"/>
              <w:rPr>
                <w:color w:val="auto"/>
                <w:sz w:val="21"/>
                <w:szCs w:val="21"/>
              </w:rPr>
            </w:pPr>
            <w:r>
              <w:rPr>
                <w:rFonts w:hint="eastAsia"/>
                <w:color w:val="auto"/>
                <w:sz w:val="21"/>
                <w:szCs w:val="21"/>
              </w:rPr>
              <w:t>地面</w:t>
            </w:r>
            <w:r>
              <w:rPr>
                <w:color w:val="auto"/>
                <w:sz w:val="21"/>
                <w:szCs w:val="21"/>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0</w:t>
            </w:r>
          </w:p>
        </w:tc>
        <w:tc>
          <w:tcPr>
            <w:tcW w:w="1970" w:type="pct"/>
          </w:tcPr>
          <w:p>
            <w:pPr>
              <w:jc w:val="center"/>
              <w:rPr>
                <w:color w:val="auto"/>
                <w:szCs w:val="21"/>
              </w:rPr>
            </w:pPr>
            <w:r>
              <w:rPr>
                <w:color w:val="auto"/>
              </w:rPr>
              <w:t>1.17</w:t>
            </w:r>
          </w:p>
        </w:tc>
        <w:tc>
          <w:tcPr>
            <w:tcW w:w="1969" w:type="pct"/>
          </w:tcPr>
          <w:p>
            <w:pPr>
              <w:jc w:val="center"/>
              <w:rPr>
                <w:b/>
                <w:bCs/>
                <w:color w:val="auto"/>
                <w:szCs w:val="21"/>
              </w:rPr>
            </w:pPr>
            <w:r>
              <w:rPr>
                <w:color w:val="auto"/>
              </w:rPr>
              <w:t>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1</w:t>
            </w:r>
          </w:p>
        </w:tc>
        <w:tc>
          <w:tcPr>
            <w:tcW w:w="1970" w:type="pct"/>
          </w:tcPr>
          <w:p>
            <w:pPr>
              <w:jc w:val="center"/>
              <w:rPr>
                <w:color w:val="auto"/>
                <w:szCs w:val="21"/>
              </w:rPr>
            </w:pPr>
            <w:r>
              <w:rPr>
                <w:color w:val="auto"/>
              </w:rPr>
              <w:t>1.51</w:t>
            </w:r>
          </w:p>
        </w:tc>
        <w:tc>
          <w:tcPr>
            <w:tcW w:w="1969" w:type="pct"/>
          </w:tcPr>
          <w:p>
            <w:pPr>
              <w:jc w:val="center"/>
              <w:rPr>
                <w:color w:val="auto"/>
                <w:szCs w:val="21"/>
              </w:rPr>
            </w:pPr>
            <w:r>
              <w:rPr>
                <w:color w:val="auto"/>
              </w:rPr>
              <w:t>10.32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2</w:t>
            </w:r>
          </w:p>
        </w:tc>
        <w:tc>
          <w:tcPr>
            <w:tcW w:w="1970" w:type="pct"/>
          </w:tcPr>
          <w:p>
            <w:pPr>
              <w:jc w:val="center"/>
              <w:rPr>
                <w:color w:val="auto"/>
                <w:szCs w:val="21"/>
              </w:rPr>
            </w:pPr>
            <w:r>
              <w:rPr>
                <w:color w:val="auto"/>
              </w:rPr>
              <w:t>1.88</w:t>
            </w:r>
          </w:p>
        </w:tc>
        <w:tc>
          <w:tcPr>
            <w:tcW w:w="1969" w:type="pct"/>
          </w:tcPr>
          <w:p>
            <w:pPr>
              <w:jc w:val="center"/>
              <w:rPr>
                <w:color w:val="auto"/>
                <w:szCs w:val="21"/>
              </w:rPr>
            </w:pPr>
            <w:r>
              <w:rPr>
                <w:color w:val="auto"/>
              </w:rPr>
              <w:t>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3</w:t>
            </w:r>
          </w:p>
        </w:tc>
        <w:tc>
          <w:tcPr>
            <w:tcW w:w="1970" w:type="pct"/>
          </w:tcPr>
          <w:p>
            <w:pPr>
              <w:jc w:val="center"/>
              <w:rPr>
                <w:color w:val="auto"/>
                <w:szCs w:val="21"/>
              </w:rPr>
            </w:pPr>
            <w:r>
              <w:rPr>
                <w:color w:val="auto"/>
              </w:rPr>
              <w:t>2.24</w:t>
            </w:r>
          </w:p>
        </w:tc>
        <w:tc>
          <w:tcPr>
            <w:tcW w:w="1969" w:type="pct"/>
          </w:tcPr>
          <w:p>
            <w:pPr>
              <w:jc w:val="center"/>
              <w:rPr>
                <w:color w:val="auto"/>
                <w:szCs w:val="21"/>
              </w:rPr>
            </w:pPr>
            <w:r>
              <w:rPr>
                <w:color w:val="auto"/>
              </w:rPr>
              <w:t>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4</w:t>
            </w:r>
          </w:p>
        </w:tc>
        <w:tc>
          <w:tcPr>
            <w:tcW w:w="1970" w:type="pct"/>
          </w:tcPr>
          <w:p>
            <w:pPr>
              <w:jc w:val="center"/>
              <w:rPr>
                <w:b/>
                <w:bCs/>
                <w:color w:val="auto"/>
                <w:szCs w:val="21"/>
              </w:rPr>
            </w:pPr>
            <w:r>
              <w:rPr>
                <w:color w:val="auto"/>
              </w:rPr>
              <w:t>2.48</w:t>
            </w:r>
          </w:p>
        </w:tc>
        <w:tc>
          <w:tcPr>
            <w:tcW w:w="1969" w:type="pct"/>
          </w:tcPr>
          <w:p>
            <w:pPr>
              <w:jc w:val="center"/>
              <w:rPr>
                <w:color w:val="auto"/>
                <w:szCs w:val="21"/>
              </w:rPr>
            </w:pPr>
            <w:r>
              <w:rPr>
                <w:color w:val="auto"/>
              </w:rPr>
              <w:t>12.82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5</w:t>
            </w:r>
          </w:p>
        </w:tc>
        <w:tc>
          <w:tcPr>
            <w:tcW w:w="1970" w:type="pct"/>
          </w:tcPr>
          <w:p>
            <w:pPr>
              <w:jc w:val="center"/>
              <w:rPr>
                <w:color w:val="auto"/>
                <w:szCs w:val="21"/>
              </w:rPr>
            </w:pPr>
            <w:r>
              <w:rPr>
                <w:color w:val="auto"/>
              </w:rPr>
              <w:t>2.54</w:t>
            </w:r>
          </w:p>
        </w:tc>
        <w:tc>
          <w:tcPr>
            <w:tcW w:w="1969" w:type="pct"/>
          </w:tcPr>
          <w:p>
            <w:pPr>
              <w:jc w:val="center"/>
              <w:rPr>
                <w:color w:val="auto"/>
                <w:szCs w:val="21"/>
              </w:rPr>
            </w:pPr>
            <w:r>
              <w:rPr>
                <w:color w:val="auto"/>
              </w:rPr>
              <w:t>12.98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6</w:t>
            </w:r>
          </w:p>
        </w:tc>
        <w:tc>
          <w:tcPr>
            <w:tcW w:w="1970" w:type="pct"/>
          </w:tcPr>
          <w:p>
            <w:pPr>
              <w:jc w:val="center"/>
              <w:rPr>
                <w:color w:val="auto"/>
                <w:szCs w:val="21"/>
              </w:rPr>
            </w:pPr>
            <w:r>
              <w:rPr>
                <w:color w:val="auto"/>
              </w:rPr>
              <w:t>2.38</w:t>
            </w:r>
          </w:p>
        </w:tc>
        <w:tc>
          <w:tcPr>
            <w:tcW w:w="1969" w:type="pct"/>
          </w:tcPr>
          <w:p>
            <w:pPr>
              <w:jc w:val="center"/>
              <w:rPr>
                <w:color w:val="auto"/>
                <w:szCs w:val="21"/>
              </w:rPr>
            </w:pPr>
            <w:r>
              <w:rPr>
                <w:color w:val="auto"/>
              </w:rPr>
              <w:t>12.61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7</w:t>
            </w:r>
          </w:p>
        </w:tc>
        <w:tc>
          <w:tcPr>
            <w:tcW w:w="1970" w:type="pct"/>
          </w:tcPr>
          <w:p>
            <w:pPr>
              <w:jc w:val="center"/>
              <w:rPr>
                <w:color w:val="auto"/>
                <w:szCs w:val="21"/>
              </w:rPr>
            </w:pPr>
            <w:r>
              <w:rPr>
                <w:color w:val="auto"/>
              </w:rPr>
              <w:t>2.06</w:t>
            </w:r>
          </w:p>
        </w:tc>
        <w:tc>
          <w:tcPr>
            <w:tcW w:w="1969" w:type="pct"/>
          </w:tcPr>
          <w:p>
            <w:pPr>
              <w:jc w:val="center"/>
              <w:rPr>
                <w:color w:val="auto"/>
                <w:szCs w:val="21"/>
              </w:rPr>
            </w:pPr>
            <w:r>
              <w:rPr>
                <w:color w:val="auto"/>
              </w:rPr>
              <w:t>11.84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8</w:t>
            </w:r>
          </w:p>
        </w:tc>
        <w:tc>
          <w:tcPr>
            <w:tcW w:w="1970" w:type="pct"/>
          </w:tcPr>
          <w:p>
            <w:pPr>
              <w:jc w:val="center"/>
              <w:rPr>
                <w:color w:val="auto"/>
                <w:szCs w:val="21"/>
              </w:rPr>
            </w:pPr>
            <w:r>
              <w:rPr>
                <w:color w:val="auto"/>
              </w:rPr>
              <w:t>1.69</w:t>
            </w:r>
          </w:p>
        </w:tc>
        <w:tc>
          <w:tcPr>
            <w:tcW w:w="1969" w:type="pct"/>
          </w:tcPr>
          <w:p>
            <w:pPr>
              <w:jc w:val="center"/>
              <w:rPr>
                <w:color w:val="auto"/>
                <w:szCs w:val="21"/>
              </w:rPr>
            </w:pPr>
            <w:r>
              <w:rPr>
                <w:color w:val="auto"/>
              </w:rPr>
              <w:t>10.89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9</w:t>
            </w:r>
          </w:p>
        </w:tc>
        <w:tc>
          <w:tcPr>
            <w:tcW w:w="1970" w:type="pct"/>
          </w:tcPr>
          <w:p>
            <w:pPr>
              <w:jc w:val="center"/>
              <w:rPr>
                <w:color w:val="auto"/>
                <w:szCs w:val="21"/>
              </w:rPr>
            </w:pPr>
            <w:r>
              <w:rPr>
                <w:color w:val="auto"/>
              </w:rPr>
              <w:t>1.32</w:t>
            </w:r>
          </w:p>
        </w:tc>
        <w:tc>
          <w:tcPr>
            <w:tcW w:w="1969" w:type="pct"/>
          </w:tcPr>
          <w:p>
            <w:pPr>
              <w:jc w:val="center"/>
              <w:rPr>
                <w:color w:val="auto"/>
                <w:szCs w:val="21"/>
              </w:rPr>
            </w:pPr>
            <w:r>
              <w:rPr>
                <w:color w:val="auto"/>
              </w:rPr>
              <w:t>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10</w:t>
            </w:r>
          </w:p>
        </w:tc>
        <w:tc>
          <w:tcPr>
            <w:tcW w:w="1970" w:type="pct"/>
          </w:tcPr>
          <w:p>
            <w:pPr>
              <w:jc w:val="center"/>
              <w:rPr>
                <w:color w:val="auto"/>
                <w:szCs w:val="21"/>
              </w:rPr>
            </w:pPr>
            <w:r>
              <w:rPr>
                <w:color w:val="auto"/>
              </w:rPr>
              <w:t>1.01</w:t>
            </w:r>
          </w:p>
        </w:tc>
        <w:tc>
          <w:tcPr>
            <w:tcW w:w="1969" w:type="pct"/>
          </w:tcPr>
          <w:p>
            <w:pPr>
              <w:jc w:val="center"/>
              <w:rPr>
                <w:color w:val="auto"/>
                <w:szCs w:val="21"/>
              </w:rPr>
            </w:pPr>
            <w:r>
              <w:rPr>
                <w:color w:val="auto"/>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11</w:t>
            </w:r>
          </w:p>
        </w:tc>
        <w:tc>
          <w:tcPr>
            <w:tcW w:w="1970" w:type="pct"/>
          </w:tcPr>
          <w:p>
            <w:pPr>
              <w:jc w:val="center"/>
              <w:rPr>
                <w:color w:val="auto"/>
                <w:szCs w:val="21"/>
              </w:rPr>
            </w:pPr>
            <w:r>
              <w:rPr>
                <w:color w:val="auto"/>
              </w:rPr>
              <w:t>0.77</w:t>
            </w:r>
          </w:p>
        </w:tc>
        <w:tc>
          <w:tcPr>
            <w:tcW w:w="1969" w:type="pct"/>
          </w:tcPr>
          <w:p>
            <w:pPr>
              <w:jc w:val="center"/>
              <w:rPr>
                <w:color w:val="auto"/>
                <w:szCs w:val="21"/>
              </w:rPr>
            </w:pPr>
            <w:r>
              <w:rPr>
                <w:color w:val="auto"/>
              </w:rPr>
              <w:t>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12</w:t>
            </w:r>
          </w:p>
        </w:tc>
        <w:tc>
          <w:tcPr>
            <w:tcW w:w="1970" w:type="pct"/>
          </w:tcPr>
          <w:p>
            <w:pPr>
              <w:jc w:val="center"/>
              <w:rPr>
                <w:color w:val="auto"/>
                <w:szCs w:val="21"/>
              </w:rPr>
            </w:pPr>
            <w:r>
              <w:rPr>
                <w:color w:val="auto"/>
              </w:rPr>
              <w:t>0.58</w:t>
            </w:r>
          </w:p>
        </w:tc>
        <w:tc>
          <w:tcPr>
            <w:tcW w:w="1969" w:type="pct"/>
          </w:tcPr>
          <w:p>
            <w:pPr>
              <w:jc w:val="center"/>
              <w:rPr>
                <w:color w:val="auto"/>
                <w:szCs w:val="21"/>
              </w:rPr>
            </w:pPr>
            <w:r>
              <w:rPr>
                <w:color w:val="auto"/>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13</w:t>
            </w:r>
          </w:p>
        </w:tc>
        <w:tc>
          <w:tcPr>
            <w:tcW w:w="1970" w:type="pct"/>
          </w:tcPr>
          <w:p>
            <w:pPr>
              <w:jc w:val="center"/>
              <w:rPr>
                <w:color w:val="auto"/>
                <w:szCs w:val="21"/>
              </w:rPr>
            </w:pPr>
            <w:r>
              <w:rPr>
                <w:color w:val="auto"/>
              </w:rPr>
              <w:t>0.43</w:t>
            </w:r>
          </w:p>
        </w:tc>
        <w:tc>
          <w:tcPr>
            <w:tcW w:w="1969" w:type="pct"/>
          </w:tcPr>
          <w:p>
            <w:pPr>
              <w:jc w:val="center"/>
              <w:rPr>
                <w:color w:val="auto"/>
                <w:szCs w:val="21"/>
              </w:rPr>
            </w:pPr>
            <w:r>
              <w:rPr>
                <w:color w:val="auto"/>
              </w:rPr>
              <w:t>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14</w:t>
            </w:r>
          </w:p>
        </w:tc>
        <w:tc>
          <w:tcPr>
            <w:tcW w:w="1970" w:type="pct"/>
          </w:tcPr>
          <w:p>
            <w:pPr>
              <w:jc w:val="center"/>
              <w:rPr>
                <w:color w:val="auto"/>
                <w:szCs w:val="21"/>
              </w:rPr>
            </w:pPr>
            <w:r>
              <w:rPr>
                <w:color w:val="auto"/>
              </w:rPr>
              <w:t>0.33</w:t>
            </w:r>
          </w:p>
        </w:tc>
        <w:tc>
          <w:tcPr>
            <w:tcW w:w="1969" w:type="pct"/>
          </w:tcPr>
          <w:p>
            <w:pPr>
              <w:jc w:val="center"/>
              <w:rPr>
                <w:color w:val="auto"/>
                <w:szCs w:val="21"/>
              </w:rPr>
            </w:pPr>
            <w:r>
              <w:rPr>
                <w:color w:val="auto"/>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15</w:t>
            </w:r>
          </w:p>
        </w:tc>
        <w:tc>
          <w:tcPr>
            <w:tcW w:w="1970" w:type="pct"/>
          </w:tcPr>
          <w:p>
            <w:pPr>
              <w:jc w:val="center"/>
              <w:rPr>
                <w:color w:val="auto"/>
                <w:szCs w:val="21"/>
              </w:rPr>
            </w:pPr>
            <w:r>
              <w:rPr>
                <w:color w:val="auto"/>
              </w:rPr>
              <w:t>0.26</w:t>
            </w:r>
          </w:p>
        </w:tc>
        <w:tc>
          <w:tcPr>
            <w:tcW w:w="1969" w:type="pct"/>
          </w:tcPr>
          <w:p>
            <w:pPr>
              <w:jc w:val="center"/>
              <w:rPr>
                <w:color w:val="auto"/>
                <w:szCs w:val="21"/>
              </w:rPr>
            </w:pPr>
            <w:r>
              <w:rPr>
                <w:color w:val="auto"/>
              </w:rPr>
              <w:t>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16</w:t>
            </w:r>
          </w:p>
        </w:tc>
        <w:tc>
          <w:tcPr>
            <w:tcW w:w="1970" w:type="pct"/>
          </w:tcPr>
          <w:p>
            <w:pPr>
              <w:jc w:val="center"/>
              <w:rPr>
                <w:color w:val="auto"/>
                <w:szCs w:val="21"/>
              </w:rPr>
            </w:pPr>
            <w:r>
              <w:rPr>
                <w:color w:val="auto"/>
              </w:rPr>
              <w:t>0.21</w:t>
            </w:r>
          </w:p>
        </w:tc>
        <w:tc>
          <w:tcPr>
            <w:tcW w:w="1969" w:type="pct"/>
          </w:tcPr>
          <w:p>
            <w:pPr>
              <w:jc w:val="center"/>
              <w:rPr>
                <w:color w:val="auto"/>
                <w:szCs w:val="21"/>
              </w:rPr>
            </w:pPr>
            <w:r>
              <w:rPr>
                <w:color w:val="auto"/>
              </w:rPr>
              <w:t>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17</w:t>
            </w:r>
          </w:p>
        </w:tc>
        <w:tc>
          <w:tcPr>
            <w:tcW w:w="1970" w:type="pct"/>
          </w:tcPr>
          <w:p>
            <w:pPr>
              <w:jc w:val="center"/>
              <w:rPr>
                <w:color w:val="auto"/>
                <w:szCs w:val="21"/>
              </w:rPr>
            </w:pPr>
            <w:r>
              <w:rPr>
                <w:color w:val="auto"/>
              </w:rPr>
              <w:t>0.17</w:t>
            </w:r>
          </w:p>
        </w:tc>
        <w:tc>
          <w:tcPr>
            <w:tcW w:w="1969" w:type="pct"/>
          </w:tcPr>
          <w:p>
            <w:pPr>
              <w:jc w:val="center"/>
              <w:rPr>
                <w:color w:val="auto"/>
                <w:szCs w:val="21"/>
              </w:rPr>
            </w:pPr>
            <w:r>
              <w:rPr>
                <w:color w:val="auto"/>
              </w:rPr>
              <w:t>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18</w:t>
            </w:r>
          </w:p>
        </w:tc>
        <w:tc>
          <w:tcPr>
            <w:tcW w:w="1970" w:type="pct"/>
          </w:tcPr>
          <w:p>
            <w:pPr>
              <w:jc w:val="center"/>
              <w:rPr>
                <w:color w:val="auto"/>
                <w:szCs w:val="21"/>
              </w:rPr>
            </w:pPr>
            <w:r>
              <w:rPr>
                <w:color w:val="auto"/>
              </w:rPr>
              <w:t>0.15</w:t>
            </w:r>
          </w:p>
        </w:tc>
        <w:tc>
          <w:tcPr>
            <w:tcW w:w="1969" w:type="pct"/>
          </w:tcPr>
          <w:p>
            <w:pPr>
              <w:jc w:val="center"/>
              <w:rPr>
                <w:color w:val="auto"/>
                <w:szCs w:val="21"/>
              </w:rPr>
            </w:pPr>
            <w:r>
              <w:rPr>
                <w:color w:val="auto"/>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19</w:t>
            </w:r>
          </w:p>
        </w:tc>
        <w:tc>
          <w:tcPr>
            <w:tcW w:w="1970" w:type="pct"/>
          </w:tcPr>
          <w:p>
            <w:pPr>
              <w:jc w:val="center"/>
              <w:rPr>
                <w:color w:val="auto"/>
                <w:szCs w:val="21"/>
              </w:rPr>
            </w:pPr>
            <w:r>
              <w:rPr>
                <w:color w:val="auto"/>
              </w:rPr>
              <w:t>0.14</w:t>
            </w:r>
          </w:p>
        </w:tc>
        <w:tc>
          <w:tcPr>
            <w:tcW w:w="1969" w:type="pct"/>
          </w:tcPr>
          <w:p>
            <w:pPr>
              <w:jc w:val="center"/>
              <w:rPr>
                <w:color w:val="auto"/>
                <w:szCs w:val="21"/>
              </w:rPr>
            </w:pPr>
            <w:r>
              <w:rPr>
                <w:color w:val="auto"/>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20</w:t>
            </w:r>
          </w:p>
        </w:tc>
        <w:tc>
          <w:tcPr>
            <w:tcW w:w="1970" w:type="pct"/>
          </w:tcPr>
          <w:p>
            <w:pPr>
              <w:jc w:val="center"/>
              <w:rPr>
                <w:color w:val="auto"/>
                <w:szCs w:val="21"/>
              </w:rPr>
            </w:pPr>
            <w:r>
              <w:rPr>
                <w:color w:val="auto"/>
              </w:rPr>
              <w:t>0.13</w:t>
            </w:r>
          </w:p>
        </w:tc>
        <w:tc>
          <w:tcPr>
            <w:tcW w:w="1969" w:type="pct"/>
          </w:tcPr>
          <w:p>
            <w:pPr>
              <w:jc w:val="center"/>
              <w:rPr>
                <w:color w:val="auto"/>
                <w:szCs w:val="21"/>
              </w:rPr>
            </w:pPr>
            <w:r>
              <w:rPr>
                <w:color w:val="auto"/>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21</w:t>
            </w:r>
          </w:p>
        </w:tc>
        <w:tc>
          <w:tcPr>
            <w:tcW w:w="1970" w:type="pct"/>
          </w:tcPr>
          <w:p>
            <w:pPr>
              <w:jc w:val="center"/>
              <w:rPr>
                <w:color w:val="auto"/>
              </w:rPr>
            </w:pPr>
            <w:r>
              <w:rPr>
                <w:color w:val="auto"/>
              </w:rPr>
              <w:t>0.12</w:t>
            </w:r>
          </w:p>
        </w:tc>
        <w:tc>
          <w:tcPr>
            <w:tcW w:w="1969" w:type="pct"/>
          </w:tcPr>
          <w:p>
            <w:pPr>
              <w:jc w:val="center"/>
              <w:rPr>
                <w:color w:val="auto"/>
                <w:szCs w:val="21"/>
              </w:rPr>
            </w:pPr>
            <w:r>
              <w:rPr>
                <w:color w:val="auto"/>
              </w:rPr>
              <w:t>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22</w:t>
            </w:r>
          </w:p>
        </w:tc>
        <w:tc>
          <w:tcPr>
            <w:tcW w:w="1970" w:type="pct"/>
          </w:tcPr>
          <w:p>
            <w:pPr>
              <w:jc w:val="center"/>
              <w:rPr>
                <w:color w:val="auto"/>
              </w:rPr>
            </w:pPr>
            <w:r>
              <w:rPr>
                <w:color w:val="auto"/>
              </w:rPr>
              <w:t>0.12</w:t>
            </w:r>
          </w:p>
        </w:tc>
        <w:tc>
          <w:tcPr>
            <w:tcW w:w="1969" w:type="pct"/>
          </w:tcPr>
          <w:p>
            <w:pPr>
              <w:jc w:val="center"/>
              <w:rPr>
                <w:color w:val="auto"/>
                <w:szCs w:val="21"/>
              </w:rPr>
            </w:pPr>
            <w:r>
              <w:rPr>
                <w:color w:val="auto"/>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23</w:t>
            </w:r>
          </w:p>
        </w:tc>
        <w:tc>
          <w:tcPr>
            <w:tcW w:w="1970" w:type="pct"/>
          </w:tcPr>
          <w:p>
            <w:pPr>
              <w:jc w:val="center"/>
              <w:rPr>
                <w:color w:val="auto"/>
              </w:rPr>
            </w:pPr>
            <w:r>
              <w:rPr>
                <w:color w:val="auto"/>
              </w:rPr>
              <w:t>0.12</w:t>
            </w:r>
          </w:p>
        </w:tc>
        <w:tc>
          <w:tcPr>
            <w:tcW w:w="1969" w:type="pct"/>
          </w:tcPr>
          <w:p>
            <w:pPr>
              <w:jc w:val="center"/>
              <w:rPr>
                <w:color w:val="auto"/>
                <w:szCs w:val="21"/>
              </w:rPr>
            </w:pPr>
            <w:r>
              <w:rPr>
                <w:color w:val="auto"/>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24</w:t>
            </w:r>
          </w:p>
        </w:tc>
        <w:tc>
          <w:tcPr>
            <w:tcW w:w="1970" w:type="pct"/>
          </w:tcPr>
          <w:p>
            <w:pPr>
              <w:jc w:val="center"/>
              <w:rPr>
                <w:color w:val="auto"/>
              </w:rPr>
            </w:pPr>
            <w:r>
              <w:rPr>
                <w:color w:val="auto"/>
              </w:rPr>
              <w:t>0.11</w:t>
            </w:r>
          </w:p>
        </w:tc>
        <w:tc>
          <w:tcPr>
            <w:tcW w:w="1969" w:type="pct"/>
          </w:tcPr>
          <w:p>
            <w:pPr>
              <w:jc w:val="center"/>
              <w:rPr>
                <w:color w:val="auto"/>
                <w:szCs w:val="21"/>
              </w:rPr>
            </w:pPr>
            <w:r>
              <w:rPr>
                <w:color w:val="auto"/>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25</w:t>
            </w:r>
          </w:p>
        </w:tc>
        <w:tc>
          <w:tcPr>
            <w:tcW w:w="1970" w:type="pct"/>
          </w:tcPr>
          <w:p>
            <w:pPr>
              <w:jc w:val="center"/>
              <w:rPr>
                <w:color w:val="auto"/>
              </w:rPr>
            </w:pPr>
            <w:r>
              <w:rPr>
                <w:color w:val="auto"/>
              </w:rPr>
              <w:t>0.11</w:t>
            </w:r>
          </w:p>
        </w:tc>
        <w:tc>
          <w:tcPr>
            <w:tcW w:w="1969" w:type="pct"/>
          </w:tcPr>
          <w:p>
            <w:pPr>
              <w:jc w:val="center"/>
              <w:rPr>
                <w:color w:val="auto"/>
                <w:szCs w:val="21"/>
              </w:rPr>
            </w:pPr>
            <w:r>
              <w:rPr>
                <w:color w:val="auto"/>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26</w:t>
            </w:r>
          </w:p>
        </w:tc>
        <w:tc>
          <w:tcPr>
            <w:tcW w:w="1970" w:type="pct"/>
          </w:tcPr>
          <w:p>
            <w:pPr>
              <w:jc w:val="center"/>
              <w:rPr>
                <w:color w:val="auto"/>
              </w:rPr>
            </w:pPr>
            <w:r>
              <w:rPr>
                <w:color w:val="auto"/>
              </w:rPr>
              <w:t>0.11</w:t>
            </w:r>
          </w:p>
        </w:tc>
        <w:tc>
          <w:tcPr>
            <w:tcW w:w="1969" w:type="pct"/>
          </w:tcPr>
          <w:p>
            <w:pPr>
              <w:jc w:val="center"/>
              <w:rPr>
                <w:color w:val="auto"/>
                <w:szCs w:val="21"/>
              </w:rPr>
            </w:pPr>
            <w:r>
              <w:rPr>
                <w:color w:val="auto"/>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27</w:t>
            </w:r>
          </w:p>
        </w:tc>
        <w:tc>
          <w:tcPr>
            <w:tcW w:w="1970" w:type="pct"/>
          </w:tcPr>
          <w:p>
            <w:pPr>
              <w:jc w:val="center"/>
              <w:rPr>
                <w:color w:val="auto"/>
              </w:rPr>
            </w:pPr>
            <w:r>
              <w:rPr>
                <w:color w:val="auto"/>
              </w:rPr>
              <w:t>0.10</w:t>
            </w:r>
          </w:p>
        </w:tc>
        <w:tc>
          <w:tcPr>
            <w:tcW w:w="1969" w:type="pct"/>
          </w:tcPr>
          <w:p>
            <w:pPr>
              <w:jc w:val="center"/>
              <w:rPr>
                <w:color w:val="auto"/>
                <w:szCs w:val="21"/>
              </w:rPr>
            </w:pPr>
            <w:r>
              <w:rPr>
                <w:color w:val="auto"/>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28</w:t>
            </w:r>
          </w:p>
        </w:tc>
        <w:tc>
          <w:tcPr>
            <w:tcW w:w="1970" w:type="pct"/>
          </w:tcPr>
          <w:p>
            <w:pPr>
              <w:jc w:val="center"/>
              <w:rPr>
                <w:color w:val="auto"/>
              </w:rPr>
            </w:pPr>
            <w:r>
              <w:rPr>
                <w:color w:val="auto"/>
              </w:rPr>
              <w:t>0.10</w:t>
            </w:r>
          </w:p>
        </w:tc>
        <w:tc>
          <w:tcPr>
            <w:tcW w:w="1969" w:type="pct"/>
          </w:tcPr>
          <w:p>
            <w:pPr>
              <w:jc w:val="center"/>
              <w:rPr>
                <w:color w:val="auto"/>
                <w:szCs w:val="21"/>
              </w:rPr>
            </w:pPr>
            <w:r>
              <w:rPr>
                <w:color w:val="auto"/>
              </w:rPr>
              <w:t>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29</w:t>
            </w:r>
          </w:p>
        </w:tc>
        <w:tc>
          <w:tcPr>
            <w:tcW w:w="1970" w:type="pct"/>
          </w:tcPr>
          <w:p>
            <w:pPr>
              <w:jc w:val="center"/>
              <w:rPr>
                <w:color w:val="auto"/>
              </w:rPr>
            </w:pPr>
            <w:r>
              <w:rPr>
                <w:color w:val="auto"/>
              </w:rPr>
              <w:t>0.09</w:t>
            </w:r>
          </w:p>
        </w:tc>
        <w:tc>
          <w:tcPr>
            <w:tcW w:w="1969" w:type="pct"/>
          </w:tcPr>
          <w:p>
            <w:pPr>
              <w:jc w:val="center"/>
              <w:rPr>
                <w:color w:val="auto"/>
                <w:szCs w:val="21"/>
              </w:rPr>
            </w:pPr>
            <w:r>
              <w:rPr>
                <w:color w:val="auto"/>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30</w:t>
            </w:r>
          </w:p>
        </w:tc>
        <w:tc>
          <w:tcPr>
            <w:tcW w:w="1970" w:type="pct"/>
          </w:tcPr>
          <w:p>
            <w:pPr>
              <w:jc w:val="center"/>
              <w:rPr>
                <w:color w:val="auto"/>
              </w:rPr>
            </w:pPr>
            <w:r>
              <w:rPr>
                <w:color w:val="auto"/>
              </w:rPr>
              <w:t>0.09</w:t>
            </w:r>
          </w:p>
        </w:tc>
        <w:tc>
          <w:tcPr>
            <w:tcW w:w="1969" w:type="pct"/>
          </w:tcPr>
          <w:p>
            <w:pPr>
              <w:jc w:val="center"/>
              <w:rPr>
                <w:color w:val="auto"/>
                <w:szCs w:val="21"/>
              </w:rPr>
            </w:pPr>
            <w:r>
              <w:rPr>
                <w:color w:val="auto"/>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31</w:t>
            </w:r>
          </w:p>
        </w:tc>
        <w:tc>
          <w:tcPr>
            <w:tcW w:w="1970" w:type="pct"/>
          </w:tcPr>
          <w:p>
            <w:pPr>
              <w:jc w:val="center"/>
              <w:rPr>
                <w:color w:val="auto"/>
                <w:szCs w:val="21"/>
              </w:rPr>
            </w:pPr>
            <w:r>
              <w:rPr>
                <w:color w:val="auto"/>
              </w:rPr>
              <w:t>0.09</w:t>
            </w:r>
          </w:p>
        </w:tc>
        <w:tc>
          <w:tcPr>
            <w:tcW w:w="1969" w:type="pct"/>
          </w:tcPr>
          <w:p>
            <w:pPr>
              <w:jc w:val="center"/>
              <w:rPr>
                <w:color w:val="auto"/>
                <w:szCs w:val="21"/>
              </w:rPr>
            </w:pPr>
            <w:r>
              <w:rPr>
                <w:color w:val="auto"/>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32</w:t>
            </w:r>
          </w:p>
        </w:tc>
        <w:tc>
          <w:tcPr>
            <w:tcW w:w="1970" w:type="pct"/>
          </w:tcPr>
          <w:p>
            <w:pPr>
              <w:jc w:val="center"/>
              <w:rPr>
                <w:color w:val="auto"/>
                <w:szCs w:val="21"/>
              </w:rPr>
            </w:pPr>
            <w:r>
              <w:rPr>
                <w:color w:val="auto"/>
              </w:rPr>
              <w:t>0.08</w:t>
            </w:r>
          </w:p>
        </w:tc>
        <w:tc>
          <w:tcPr>
            <w:tcW w:w="1969" w:type="pct"/>
          </w:tcPr>
          <w:p>
            <w:pPr>
              <w:jc w:val="center"/>
              <w:rPr>
                <w:color w:val="auto"/>
                <w:szCs w:val="21"/>
              </w:rPr>
            </w:pPr>
            <w:r>
              <w:rPr>
                <w:color w:val="auto"/>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33</w:t>
            </w:r>
          </w:p>
        </w:tc>
        <w:tc>
          <w:tcPr>
            <w:tcW w:w="1970" w:type="pct"/>
          </w:tcPr>
          <w:p>
            <w:pPr>
              <w:jc w:val="center"/>
              <w:rPr>
                <w:color w:val="auto"/>
                <w:szCs w:val="21"/>
              </w:rPr>
            </w:pPr>
            <w:r>
              <w:rPr>
                <w:color w:val="auto"/>
              </w:rPr>
              <w:t>0.08</w:t>
            </w:r>
          </w:p>
        </w:tc>
        <w:tc>
          <w:tcPr>
            <w:tcW w:w="1969" w:type="pct"/>
          </w:tcPr>
          <w:p>
            <w:pPr>
              <w:jc w:val="center"/>
              <w:rPr>
                <w:color w:val="auto"/>
                <w:szCs w:val="21"/>
              </w:rPr>
            </w:pPr>
            <w:r>
              <w:rPr>
                <w:color w:val="auto"/>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34</w:t>
            </w:r>
          </w:p>
        </w:tc>
        <w:tc>
          <w:tcPr>
            <w:tcW w:w="1970" w:type="pct"/>
          </w:tcPr>
          <w:p>
            <w:pPr>
              <w:jc w:val="center"/>
              <w:rPr>
                <w:color w:val="auto"/>
                <w:szCs w:val="21"/>
              </w:rPr>
            </w:pPr>
            <w:r>
              <w:rPr>
                <w:color w:val="auto"/>
              </w:rPr>
              <w:t>0.08</w:t>
            </w:r>
          </w:p>
        </w:tc>
        <w:tc>
          <w:tcPr>
            <w:tcW w:w="1969" w:type="pct"/>
          </w:tcPr>
          <w:p>
            <w:pPr>
              <w:jc w:val="center"/>
              <w:rPr>
                <w:color w:val="auto"/>
                <w:szCs w:val="21"/>
              </w:rPr>
            </w:pPr>
            <w:r>
              <w:rPr>
                <w:color w:val="auto"/>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35</w:t>
            </w:r>
          </w:p>
        </w:tc>
        <w:tc>
          <w:tcPr>
            <w:tcW w:w="1970" w:type="pct"/>
          </w:tcPr>
          <w:p>
            <w:pPr>
              <w:jc w:val="center"/>
              <w:rPr>
                <w:color w:val="auto"/>
                <w:szCs w:val="21"/>
              </w:rPr>
            </w:pPr>
            <w:r>
              <w:rPr>
                <w:color w:val="auto"/>
              </w:rPr>
              <w:t>0.07</w:t>
            </w:r>
          </w:p>
        </w:tc>
        <w:tc>
          <w:tcPr>
            <w:tcW w:w="1969" w:type="pct"/>
          </w:tcPr>
          <w:p>
            <w:pPr>
              <w:jc w:val="center"/>
              <w:rPr>
                <w:color w:val="auto"/>
                <w:szCs w:val="21"/>
              </w:rPr>
            </w:pPr>
            <w:r>
              <w:rPr>
                <w:color w:val="auto"/>
              </w:rPr>
              <w:t>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vAlign w:val="center"/>
          </w:tcPr>
          <w:p>
            <w:pPr>
              <w:jc w:val="center"/>
              <w:rPr>
                <w:color w:val="auto"/>
                <w:szCs w:val="21"/>
              </w:rPr>
            </w:pPr>
            <w:r>
              <w:rPr>
                <w:color w:val="auto"/>
                <w:szCs w:val="21"/>
              </w:rPr>
              <w:t>36</w:t>
            </w:r>
          </w:p>
        </w:tc>
        <w:tc>
          <w:tcPr>
            <w:tcW w:w="1970" w:type="pct"/>
          </w:tcPr>
          <w:p>
            <w:pPr>
              <w:jc w:val="center"/>
              <w:rPr>
                <w:color w:val="auto"/>
                <w:szCs w:val="21"/>
              </w:rPr>
            </w:pPr>
            <w:r>
              <w:rPr>
                <w:color w:val="auto"/>
              </w:rPr>
              <w:t>0.07</w:t>
            </w:r>
          </w:p>
        </w:tc>
        <w:tc>
          <w:tcPr>
            <w:tcW w:w="1969" w:type="pct"/>
          </w:tcPr>
          <w:p>
            <w:pPr>
              <w:jc w:val="center"/>
              <w:rPr>
                <w:color w:val="auto"/>
                <w:szCs w:val="21"/>
              </w:rPr>
            </w:pPr>
            <w:r>
              <w:rPr>
                <w:color w:val="auto"/>
              </w:rPr>
              <w:t>2.70</w:t>
            </w:r>
          </w:p>
        </w:tc>
      </w:tr>
      <w:bookmarkEnd w:id="60"/>
    </w:tbl>
    <w:p>
      <w:pPr>
        <w:pStyle w:val="34"/>
        <w:spacing w:line="0" w:lineRule="atLeast"/>
        <w:rPr>
          <w:b/>
          <w:color w:val="auto"/>
          <w:sz w:val="20"/>
        </w:rPr>
      </w:pPr>
      <w:bookmarkStart w:id="61" w:name="_Toc498526524"/>
      <w:bookmarkStart w:id="62" w:name="_Toc413055190"/>
      <w:r>
        <w:rPr>
          <w:color w:val="auto"/>
        </w:rPr>
        <w:drawing>
          <wp:inline distT="0" distB="0" distL="0" distR="0">
            <wp:extent cx="5480050" cy="3128645"/>
            <wp:effectExtent l="19050" t="0" r="635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34" cstate="print"/>
                    <a:srcRect/>
                    <a:stretch>
                      <a:fillRect/>
                    </a:stretch>
                  </pic:blipFill>
                  <pic:spPr>
                    <a:xfrm>
                      <a:off x="0" y="0"/>
                      <a:ext cx="5480050" cy="3128645"/>
                    </a:xfrm>
                    <a:prstGeom prst="rect">
                      <a:avLst/>
                    </a:prstGeom>
                    <a:noFill/>
                    <a:ln w="9525">
                      <a:noFill/>
                      <a:miter lim="800000"/>
                      <a:headEnd/>
                      <a:tailEnd/>
                    </a:ln>
                  </pic:spPr>
                </pic:pic>
              </a:graphicData>
            </a:graphic>
          </wp:inline>
        </w:drawing>
      </w:r>
    </w:p>
    <w:p>
      <w:pPr>
        <w:pStyle w:val="34"/>
        <w:spacing w:line="0" w:lineRule="atLeast"/>
        <w:ind w:firstLine="402"/>
        <w:rPr>
          <w:b/>
          <w:color w:val="auto"/>
          <w:sz w:val="20"/>
        </w:rPr>
      </w:pPr>
    </w:p>
    <w:p>
      <w:pPr>
        <w:pStyle w:val="34"/>
        <w:spacing w:line="0" w:lineRule="atLeast"/>
        <w:ind w:firstLine="402"/>
        <w:rPr>
          <w:b/>
          <w:color w:val="auto"/>
          <w:sz w:val="20"/>
        </w:rPr>
      </w:pPr>
      <w:r>
        <w:rPr>
          <w:rFonts w:hint="eastAsia"/>
          <w:b/>
          <w:color w:val="auto"/>
          <w:sz w:val="20"/>
        </w:rPr>
        <w:t>图</w:t>
      </w:r>
      <w:r>
        <w:rPr>
          <w:b/>
          <w:color w:val="auto"/>
          <w:sz w:val="20"/>
        </w:rPr>
        <w:t xml:space="preserve">4   </w:t>
      </w:r>
      <w:r>
        <w:rPr>
          <w:rFonts w:hint="eastAsia"/>
          <w:b/>
          <w:color w:val="auto"/>
          <w:sz w:val="20"/>
        </w:rPr>
        <w:t>非居民区</w:t>
      </w:r>
      <w:r>
        <w:rPr>
          <w:b/>
          <w:color w:val="auto"/>
          <w:sz w:val="20"/>
        </w:rPr>
        <w:t>110kV</w:t>
      </w:r>
      <w:r>
        <w:rPr>
          <w:rFonts w:hint="eastAsia"/>
          <w:b/>
          <w:color w:val="auto"/>
          <w:sz w:val="20"/>
        </w:rPr>
        <w:t>单回线路工频电场预测分布图</w:t>
      </w:r>
    </w:p>
    <w:p>
      <w:pPr>
        <w:spacing w:line="360" w:lineRule="auto"/>
        <w:rPr>
          <w:b/>
          <w:color w:val="auto"/>
          <w:sz w:val="24"/>
          <w:szCs w:val="24"/>
        </w:rPr>
      </w:pPr>
      <w:r>
        <w:rPr>
          <w:b/>
          <w:color w:val="auto"/>
          <w:sz w:val="24"/>
          <w:szCs w:val="24"/>
        </w:rPr>
        <w:drawing>
          <wp:inline distT="0" distB="0" distL="0" distR="0">
            <wp:extent cx="5485130" cy="4029710"/>
            <wp:effectExtent l="19050" t="0" r="1270" b="0"/>
            <wp:docPr id="957"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图片 211"/>
                    <pic:cNvPicPr>
                      <a:picLocks noChangeAspect="1" noChangeArrowheads="1"/>
                    </pic:cNvPicPr>
                  </pic:nvPicPr>
                  <pic:blipFill>
                    <a:blip r:embed="rId135" cstate="print"/>
                    <a:srcRect/>
                    <a:stretch>
                      <a:fillRect/>
                    </a:stretch>
                  </pic:blipFill>
                  <pic:spPr>
                    <a:xfrm>
                      <a:off x="0" y="0"/>
                      <a:ext cx="5485130" cy="4029710"/>
                    </a:xfrm>
                    <a:prstGeom prst="rect">
                      <a:avLst/>
                    </a:prstGeom>
                    <a:noFill/>
                    <a:ln w="9525">
                      <a:noFill/>
                      <a:miter lim="800000"/>
                      <a:headEnd/>
                      <a:tailEnd/>
                    </a:ln>
                  </pic:spPr>
                </pic:pic>
              </a:graphicData>
            </a:graphic>
          </wp:inline>
        </w:drawing>
      </w:r>
    </w:p>
    <w:p>
      <w:pPr>
        <w:pStyle w:val="34"/>
        <w:spacing w:line="0" w:lineRule="atLeast"/>
        <w:ind w:firstLine="402"/>
        <w:rPr>
          <w:b/>
          <w:color w:val="auto"/>
          <w:sz w:val="20"/>
        </w:rPr>
      </w:pPr>
      <w:r>
        <w:rPr>
          <w:rFonts w:hint="eastAsia"/>
          <w:b/>
          <w:color w:val="auto"/>
          <w:sz w:val="20"/>
        </w:rPr>
        <w:t>图</w:t>
      </w:r>
      <w:r>
        <w:rPr>
          <w:b/>
          <w:color w:val="auto"/>
          <w:sz w:val="20"/>
        </w:rPr>
        <w:t xml:space="preserve">5   </w:t>
      </w:r>
      <w:r>
        <w:rPr>
          <w:rFonts w:hint="eastAsia"/>
          <w:b/>
          <w:color w:val="auto"/>
          <w:sz w:val="20"/>
        </w:rPr>
        <w:t>非居民区</w:t>
      </w:r>
      <w:r>
        <w:rPr>
          <w:b/>
          <w:color w:val="auto"/>
          <w:sz w:val="20"/>
        </w:rPr>
        <w:t>110kV</w:t>
      </w:r>
      <w:r>
        <w:rPr>
          <w:rFonts w:hint="eastAsia"/>
          <w:b/>
          <w:color w:val="auto"/>
          <w:sz w:val="20"/>
        </w:rPr>
        <w:t>单回线路工频磁感应强度预测分布图</w:t>
      </w:r>
    </w:p>
    <w:p>
      <w:pPr>
        <w:spacing w:line="360" w:lineRule="auto"/>
        <w:rPr>
          <w:b/>
          <w:color w:val="auto"/>
          <w:sz w:val="24"/>
          <w:szCs w:val="24"/>
        </w:rPr>
      </w:pPr>
    </w:p>
    <w:p>
      <w:pPr>
        <w:autoSpaceDE w:val="0"/>
        <w:autoSpaceDN w:val="0"/>
        <w:adjustRightInd w:val="0"/>
        <w:spacing w:line="360" w:lineRule="auto"/>
        <w:jc w:val="left"/>
        <w:rPr>
          <w:color w:val="auto"/>
          <w:kern w:val="0"/>
          <w:sz w:val="24"/>
          <w:szCs w:val="24"/>
        </w:rPr>
      </w:pPr>
      <w:r>
        <w:rPr>
          <w:rFonts w:hint="eastAsia"/>
          <w:color w:val="auto"/>
          <w:kern w:val="0"/>
          <w:sz w:val="24"/>
          <w:szCs w:val="24"/>
        </w:rPr>
        <w:t>（</w:t>
      </w:r>
      <w:r>
        <w:rPr>
          <w:color w:val="auto"/>
          <w:kern w:val="0"/>
          <w:sz w:val="24"/>
          <w:szCs w:val="24"/>
        </w:rPr>
        <w:t>1</w:t>
      </w:r>
      <w:r>
        <w:rPr>
          <w:rFonts w:hint="eastAsia"/>
          <w:color w:val="auto"/>
          <w:kern w:val="0"/>
          <w:sz w:val="24"/>
          <w:szCs w:val="24"/>
        </w:rPr>
        <w:t>）工频电场</w:t>
      </w:r>
    </w:p>
    <w:p>
      <w:pPr>
        <w:autoSpaceDE w:val="0"/>
        <w:autoSpaceDN w:val="0"/>
        <w:adjustRightInd w:val="0"/>
        <w:spacing w:line="360" w:lineRule="auto"/>
        <w:ind w:firstLine="600" w:firstLineChars="250"/>
        <w:jc w:val="left"/>
        <w:rPr>
          <w:color w:val="auto"/>
          <w:kern w:val="0"/>
          <w:sz w:val="24"/>
          <w:szCs w:val="24"/>
        </w:rPr>
      </w:pPr>
      <w:r>
        <w:rPr>
          <w:rFonts w:hint="eastAsia"/>
          <w:color w:val="auto"/>
          <w:kern w:val="0"/>
          <w:sz w:val="24"/>
          <w:szCs w:val="24"/>
        </w:rPr>
        <w:t>线路经过非居民区，导线对地最小距离为</w:t>
      </w:r>
      <w:r>
        <w:rPr>
          <w:color w:val="auto"/>
          <w:kern w:val="0"/>
          <w:sz w:val="24"/>
          <w:szCs w:val="24"/>
        </w:rPr>
        <w:t>6m</w:t>
      </w:r>
      <w:r>
        <w:rPr>
          <w:rFonts w:hint="eastAsia"/>
          <w:color w:val="auto"/>
          <w:kern w:val="0"/>
          <w:sz w:val="24"/>
          <w:szCs w:val="24"/>
        </w:rPr>
        <w:t>，距离地面</w:t>
      </w:r>
      <w:r>
        <w:rPr>
          <w:color w:val="auto"/>
          <w:kern w:val="0"/>
          <w:sz w:val="24"/>
          <w:szCs w:val="24"/>
        </w:rPr>
        <w:t>1.5m</w:t>
      </w:r>
      <w:r>
        <w:rPr>
          <w:rFonts w:hint="eastAsia"/>
          <w:color w:val="auto"/>
          <w:kern w:val="0"/>
          <w:sz w:val="24"/>
          <w:szCs w:val="24"/>
        </w:rPr>
        <w:t>高度处的工频电场强度最大值为</w:t>
      </w:r>
      <w:r>
        <w:rPr>
          <w:color w:val="auto"/>
          <w:kern w:val="0"/>
          <w:sz w:val="24"/>
          <w:szCs w:val="24"/>
        </w:rPr>
        <w:t>2.54kV/m</w:t>
      </w:r>
      <w:r>
        <w:rPr>
          <w:rFonts w:hint="eastAsia"/>
          <w:color w:val="auto"/>
          <w:kern w:val="0"/>
          <w:sz w:val="24"/>
          <w:szCs w:val="24"/>
        </w:rPr>
        <w:t>，满足</w:t>
      </w:r>
      <w:r>
        <w:rPr>
          <w:color w:val="auto"/>
          <w:kern w:val="0"/>
          <w:sz w:val="24"/>
          <w:szCs w:val="24"/>
        </w:rPr>
        <w:t>10kV/m</w:t>
      </w:r>
      <w:r>
        <w:rPr>
          <w:rFonts w:hint="eastAsia"/>
          <w:color w:val="auto"/>
          <w:kern w:val="0"/>
          <w:sz w:val="24"/>
          <w:szCs w:val="24"/>
        </w:rPr>
        <w:t>的标准限值。</w:t>
      </w:r>
    </w:p>
    <w:p>
      <w:pPr>
        <w:autoSpaceDE w:val="0"/>
        <w:autoSpaceDN w:val="0"/>
        <w:adjustRightInd w:val="0"/>
        <w:spacing w:line="360" w:lineRule="auto"/>
        <w:jc w:val="left"/>
        <w:rPr>
          <w:color w:val="auto"/>
          <w:kern w:val="0"/>
          <w:sz w:val="24"/>
          <w:szCs w:val="24"/>
        </w:rPr>
      </w:pPr>
      <w:r>
        <w:rPr>
          <w:rFonts w:hint="eastAsia"/>
          <w:color w:val="auto"/>
          <w:kern w:val="0"/>
          <w:sz w:val="24"/>
          <w:szCs w:val="24"/>
        </w:rPr>
        <w:t>（</w:t>
      </w:r>
      <w:r>
        <w:rPr>
          <w:color w:val="auto"/>
          <w:kern w:val="0"/>
          <w:sz w:val="24"/>
          <w:szCs w:val="24"/>
        </w:rPr>
        <w:t>2</w:t>
      </w:r>
      <w:r>
        <w:rPr>
          <w:rFonts w:hint="eastAsia"/>
          <w:color w:val="auto"/>
          <w:kern w:val="0"/>
          <w:sz w:val="24"/>
          <w:szCs w:val="24"/>
        </w:rPr>
        <w:t>）工频磁场</w:t>
      </w:r>
    </w:p>
    <w:p>
      <w:pPr>
        <w:autoSpaceDE w:val="0"/>
        <w:autoSpaceDN w:val="0"/>
        <w:adjustRightInd w:val="0"/>
        <w:spacing w:line="360" w:lineRule="auto"/>
        <w:ind w:firstLine="600" w:firstLineChars="250"/>
        <w:jc w:val="left"/>
        <w:rPr>
          <w:color w:val="auto"/>
          <w:kern w:val="0"/>
          <w:sz w:val="24"/>
          <w:szCs w:val="24"/>
        </w:rPr>
      </w:pPr>
      <w:r>
        <w:rPr>
          <w:rFonts w:hint="eastAsia"/>
          <w:color w:val="auto"/>
          <w:kern w:val="0"/>
          <w:sz w:val="24"/>
          <w:szCs w:val="24"/>
        </w:rPr>
        <w:t>线路经过非居民区，导线对地最小距离为</w:t>
      </w:r>
      <w:r>
        <w:rPr>
          <w:color w:val="auto"/>
          <w:kern w:val="0"/>
          <w:sz w:val="24"/>
          <w:szCs w:val="24"/>
        </w:rPr>
        <w:t>6m</w:t>
      </w:r>
      <w:r>
        <w:rPr>
          <w:rFonts w:hint="eastAsia"/>
          <w:color w:val="auto"/>
          <w:kern w:val="0"/>
          <w:sz w:val="24"/>
          <w:szCs w:val="24"/>
        </w:rPr>
        <w:t>，距离地面</w:t>
      </w:r>
      <w:r>
        <w:rPr>
          <w:color w:val="auto"/>
          <w:kern w:val="0"/>
          <w:sz w:val="24"/>
          <w:szCs w:val="24"/>
        </w:rPr>
        <w:t>1.5m</w:t>
      </w:r>
      <w:r>
        <w:rPr>
          <w:rFonts w:hint="eastAsia"/>
          <w:color w:val="auto"/>
          <w:kern w:val="0"/>
          <w:sz w:val="24"/>
          <w:szCs w:val="24"/>
        </w:rPr>
        <w:t>高度处的磁感应强度最大值为</w:t>
      </w:r>
      <w:r>
        <w:rPr>
          <w:color w:val="auto"/>
          <w:kern w:val="0"/>
          <w:sz w:val="24"/>
          <w:szCs w:val="24"/>
        </w:rPr>
        <w:t>12.98μT</w:t>
      </w:r>
      <w:r>
        <w:rPr>
          <w:rFonts w:hint="eastAsia"/>
          <w:color w:val="auto"/>
          <w:kern w:val="0"/>
          <w:sz w:val="24"/>
          <w:szCs w:val="24"/>
        </w:rPr>
        <w:t>，满足</w:t>
      </w:r>
      <w:r>
        <w:rPr>
          <w:color w:val="auto"/>
          <w:kern w:val="0"/>
          <w:sz w:val="24"/>
          <w:szCs w:val="24"/>
        </w:rPr>
        <w:t>100μT</w:t>
      </w:r>
      <w:r>
        <w:rPr>
          <w:rFonts w:hint="eastAsia"/>
          <w:color w:val="auto"/>
          <w:kern w:val="0"/>
          <w:sz w:val="24"/>
          <w:szCs w:val="24"/>
        </w:rPr>
        <w:t>的标准限值。</w:t>
      </w:r>
    </w:p>
    <w:p>
      <w:pPr>
        <w:spacing w:line="360" w:lineRule="auto"/>
        <w:ind w:firstLine="480"/>
        <w:rPr>
          <w:b/>
          <w:color w:val="auto"/>
          <w:sz w:val="24"/>
          <w:szCs w:val="24"/>
          <w:u w:val="single"/>
        </w:rPr>
      </w:pPr>
      <w:r>
        <w:rPr>
          <w:rFonts w:hint="eastAsia"/>
          <w:color w:val="auto"/>
          <w:kern w:val="0"/>
          <w:sz w:val="23"/>
          <w:szCs w:val="23"/>
        </w:rPr>
        <w:t>根据预测结果可知，本工程工频电磁场均</w:t>
      </w:r>
      <w:r>
        <w:rPr>
          <w:rFonts w:hint="eastAsia"/>
          <w:color w:val="auto"/>
          <w:sz w:val="24"/>
        </w:rPr>
        <w:t>能够满足《电磁环境控制限值》</w:t>
      </w:r>
      <w:r>
        <w:rPr>
          <w:color w:val="auto"/>
          <w:sz w:val="24"/>
        </w:rPr>
        <w:t>(GB8702-2014)</w:t>
      </w:r>
      <w:r>
        <w:rPr>
          <w:rFonts w:hint="eastAsia"/>
          <w:color w:val="auto"/>
          <w:sz w:val="24"/>
        </w:rPr>
        <w:t>中的限值要求。另据《</w:t>
      </w:r>
      <w:r>
        <w:rPr>
          <w:color w:val="auto"/>
          <w:sz w:val="24"/>
        </w:rPr>
        <w:t>110</w:t>
      </w:r>
      <w:r>
        <w:rPr>
          <w:rFonts w:hint="eastAsia"/>
          <w:color w:val="auto"/>
          <w:sz w:val="24"/>
        </w:rPr>
        <w:t>～</w:t>
      </w:r>
      <w:r>
        <w:rPr>
          <w:color w:val="auto"/>
          <w:sz w:val="24"/>
        </w:rPr>
        <w:t>750kV</w:t>
      </w:r>
      <w:r>
        <w:rPr>
          <w:rFonts w:hint="eastAsia"/>
          <w:color w:val="auto"/>
          <w:sz w:val="24"/>
        </w:rPr>
        <w:t>架空输电线路设计规范》（</w:t>
      </w:r>
      <w:r>
        <w:rPr>
          <w:color w:val="auto"/>
          <w:sz w:val="24"/>
        </w:rPr>
        <w:t>GB50545-2010</w:t>
      </w:r>
      <w:r>
        <w:rPr>
          <w:rFonts w:hint="eastAsia"/>
          <w:color w:val="auto"/>
          <w:sz w:val="24"/>
        </w:rPr>
        <w:t>）中安全距离要求，本项目在该距离内能够满足《电磁环境控制限值》</w:t>
      </w:r>
      <w:r>
        <w:rPr>
          <w:color w:val="auto"/>
          <w:sz w:val="24"/>
        </w:rPr>
        <w:t>(GB8702-2014)</w:t>
      </w:r>
      <w:r>
        <w:rPr>
          <w:rFonts w:hint="eastAsia"/>
          <w:color w:val="auto"/>
          <w:sz w:val="24"/>
        </w:rPr>
        <w:t>要求，因此不另设环境安全距离。</w:t>
      </w:r>
    </w:p>
    <w:p>
      <w:pPr>
        <w:spacing w:line="360" w:lineRule="auto"/>
        <w:rPr>
          <w:b/>
          <w:color w:val="auto"/>
          <w:sz w:val="24"/>
          <w:szCs w:val="24"/>
        </w:rPr>
      </w:pPr>
      <w:r>
        <w:rPr>
          <w:b/>
          <w:color w:val="auto"/>
          <w:sz w:val="24"/>
          <w:szCs w:val="24"/>
        </w:rPr>
        <w:t xml:space="preserve">4 </w:t>
      </w:r>
      <w:r>
        <w:rPr>
          <w:rFonts w:hint="eastAsia"/>
          <w:b/>
          <w:color w:val="auto"/>
          <w:sz w:val="24"/>
          <w:szCs w:val="24"/>
        </w:rPr>
        <w:t>电磁环境影响评价结论</w:t>
      </w:r>
      <w:bookmarkEnd w:id="61"/>
      <w:bookmarkEnd w:id="62"/>
    </w:p>
    <w:p>
      <w:pPr>
        <w:spacing w:line="360" w:lineRule="auto"/>
        <w:ind w:firstLine="482"/>
        <w:rPr>
          <w:color w:val="auto"/>
        </w:rPr>
      </w:pPr>
      <w:r>
        <w:rPr>
          <w:rFonts w:hint="eastAsia"/>
          <w:color w:val="auto"/>
          <w:sz w:val="24"/>
        </w:rPr>
        <w:t>通过类比分析、理论模式预测，本工程投运后，各电磁环境保护目标的工频电场强度、工频磁感应强度分别能满足《电磁环境控制限值》（</w:t>
      </w:r>
      <w:r>
        <w:rPr>
          <w:color w:val="auto"/>
          <w:sz w:val="24"/>
        </w:rPr>
        <w:t>GB8702-2014</w:t>
      </w:r>
      <w:r>
        <w:rPr>
          <w:rFonts w:hint="eastAsia"/>
          <w:color w:val="auto"/>
          <w:sz w:val="24"/>
        </w:rPr>
        <w:t>）中</w:t>
      </w:r>
      <w:r>
        <w:rPr>
          <w:color w:val="auto"/>
          <w:sz w:val="24"/>
        </w:rPr>
        <w:t>4000V/m</w:t>
      </w:r>
      <w:r>
        <w:rPr>
          <w:rFonts w:hint="eastAsia"/>
          <w:color w:val="auto"/>
          <w:sz w:val="24"/>
        </w:rPr>
        <w:t>、</w:t>
      </w:r>
      <w:r>
        <w:rPr>
          <w:color w:val="auto"/>
          <w:sz w:val="24"/>
        </w:rPr>
        <w:t>100μT</w:t>
      </w:r>
      <w:r>
        <w:rPr>
          <w:rFonts w:hint="eastAsia"/>
          <w:color w:val="auto"/>
          <w:sz w:val="24"/>
        </w:rPr>
        <w:t>的标准限值要求。</w:t>
      </w:r>
      <w:r>
        <w:rPr>
          <w:color w:val="auto"/>
        </w:rPr>
        <w:t xml:space="preserve">   </w:t>
      </w:r>
    </w:p>
    <w:sectPr>
      <w:footerReference r:id="rId8" w:type="default"/>
      <w:pgSz w:w="11849" w:h="16781"/>
      <w:pgMar w:top="1418" w:right="1247" w:bottom="1418" w:left="1418" w:header="851" w:footer="992" w:gutter="57"/>
      <w:cols w:space="72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PMingLiU">
    <w:panose1 w:val="02020500000000000000"/>
    <w:charset w:val="88"/>
    <w:family w:val="roman"/>
    <w:pitch w:val="default"/>
    <w:sig w:usb0="A00002FF" w:usb1="28CFFCFA" w:usb2="00000016" w:usb3="00000000" w:csb0="00100001" w:csb1="00000000"/>
  </w:font>
  <w:font w:name="Garamond">
    <w:panose1 w:val="02020404030301010803"/>
    <w:charset w:val="00"/>
    <w:family w:val="roman"/>
    <w:pitch w:val="default"/>
    <w:sig w:usb0="00000287" w:usb1="00000000" w:usb2="00000000" w:usb3="00000000" w:csb0="0000009F" w:csb1="DFD70000"/>
  </w:font>
  <w:font w:name="方正仿宋_GBK">
    <w:altName w:val="微软雅黑"/>
    <w:panose1 w:val="00000000000000000000"/>
    <w:charset w:val="86"/>
    <w:family w:val="script"/>
    <w:pitch w:val="default"/>
    <w:sig w:usb0="00000000" w:usb1="00000000" w:usb2="00000000" w:usb3="00000000" w:csb0="00040000" w:csb1="00000000"/>
  </w:font>
  <w:font w:name="Impact">
    <w:panose1 w:val="020B0806030902050204"/>
    <w:charset w:val="00"/>
    <w:family w:val="swiss"/>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幼圆">
    <w:panose1 w:val="02010509060101010101"/>
    <w:charset w:val="86"/>
    <w:family w:val="modern"/>
    <w:pitch w:val="default"/>
    <w:sig w:usb0="00000001" w:usb1="080E0000" w:usb2="00000000" w:usb3="00000000" w:csb0="00040000" w:csb1="00000000"/>
  </w:font>
  <w:font w:name="五">
    <w:altName w:val="黑体"/>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TimesNewRomanPSMT">
    <w:altName w:val="MS Mincho"/>
    <w:panose1 w:val="00000000000000000000"/>
    <w:charset w:val="80"/>
    <w:family w:val="auto"/>
    <w:pitch w:val="default"/>
    <w:sig w:usb0="00000000" w:usb1="00000000" w:usb2="00000010" w:usb3="00000000" w:csb0="00020001" w:csb1="00000000"/>
  </w:font>
  <w:font w:name="Cambria Math">
    <w:panose1 w:val="02040503050406030204"/>
    <w:charset w:val="00"/>
    <w:family w:val="roman"/>
    <w:pitch w:val="default"/>
    <w:sig w:usb0="E00002FF" w:usb1="420024FF" w:usb2="00000000" w:usb3="00000000" w:csb0="2000019F"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oúì.">
    <w:altName w:val="黑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MS Mincho">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framePr w:wrap="around" w:vAnchor="text" w:hAnchor="margin" w:xAlign="center" w:y="1"/>
      <w:rPr>
        <w:rStyle w:val="134"/>
      </w:rPr>
    </w:pPr>
    <w:r>
      <w:fldChar w:fldCharType="begin"/>
    </w:r>
    <w:r>
      <w:rPr>
        <w:rStyle w:val="134"/>
      </w:rPr>
      <w:instrText xml:space="preserve">PAGE  </w:instrText>
    </w:r>
    <w:r>
      <w:fldChar w:fldCharType="separate"/>
    </w:r>
    <w:r>
      <w:rPr>
        <w:rStyle w:val="134"/>
      </w:rPr>
      <w:t>LXIII</w:t>
    </w:r>
    <w:r>
      <w:fldChar w:fldCharType="end"/>
    </w:r>
  </w:p>
  <w:p>
    <w:pPr>
      <w:pStyle w:val="5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framePr w:wrap="around" w:vAnchor="text" w:hAnchor="margin" w:xAlign="center" w:yAlign="top"/>
    </w:pPr>
    <w:r>
      <w:fldChar w:fldCharType="begin"/>
    </w:r>
    <w:r>
      <w:rPr>
        <w:rStyle w:val="134"/>
      </w:rPr>
      <w:instrText xml:space="preserve"> PAGE  </w:instrText>
    </w:r>
    <w:r>
      <w:fldChar w:fldCharType="separate"/>
    </w:r>
    <w:r>
      <w:rPr>
        <w:rStyle w:val="134"/>
      </w:rPr>
      <w:t>LXIII</w:t>
    </w:r>
    <w:r>
      <w:fldChar w:fldCharType="end"/>
    </w:r>
  </w:p>
  <w:p>
    <w:pPr>
      <w:pStyle w:val="5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92790"/>
    </w:sdtPr>
    <w:sdtContent>
      <w:p>
        <w:pPr>
          <w:pStyle w:val="54"/>
          <w:jc w:val="center"/>
        </w:pPr>
        <w:r>
          <w:fldChar w:fldCharType="begin"/>
        </w:r>
        <w:r>
          <w:instrText xml:space="preserve"> PAGE   \* MERGEFORMAT </w:instrText>
        </w:r>
        <w:r>
          <w:fldChar w:fldCharType="separate"/>
        </w:r>
        <w:r>
          <w:rPr>
            <w:lang w:val="zh-CN"/>
          </w:rPr>
          <w:t>59</w:t>
        </w:r>
        <w:r>
          <w:rPr>
            <w:lang w:val="zh-CN"/>
          </w:rPr>
          <w:fldChar w:fldCharType="end"/>
        </w:r>
      </w:p>
    </w:sdtContent>
  </w:sdt>
  <w:p>
    <w:pPr>
      <w:pStyle w:val="54"/>
      <w:ind w:right="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CEEECC"/>
    <w:multiLevelType w:val="singleLevel"/>
    <w:tmpl w:val="D5CEEECC"/>
    <w:lvl w:ilvl="0" w:tentative="0">
      <w:start w:val="4"/>
      <w:numFmt w:val="decimal"/>
      <w:suff w:val="nothing"/>
      <w:lvlText w:val="（%1）"/>
      <w:lvlJc w:val="left"/>
    </w:lvl>
  </w:abstractNum>
  <w:abstractNum w:abstractNumId="1">
    <w:nsid w:val="00000003"/>
    <w:multiLevelType w:val="singleLevel"/>
    <w:tmpl w:val="00000003"/>
    <w:lvl w:ilvl="0" w:tentative="0">
      <w:start w:val="1"/>
      <w:numFmt w:val="decimal"/>
      <w:pStyle w:val="17"/>
      <w:lvlText w:val="%1."/>
      <w:lvlJc w:val="left"/>
      <w:pPr>
        <w:tabs>
          <w:tab w:val="left" w:pos="780"/>
        </w:tabs>
        <w:ind w:left="780" w:hanging="360"/>
      </w:pPr>
    </w:lvl>
  </w:abstractNum>
  <w:abstractNum w:abstractNumId="2">
    <w:nsid w:val="00000017"/>
    <w:multiLevelType w:val="singleLevel"/>
    <w:tmpl w:val="00000017"/>
    <w:lvl w:ilvl="0" w:tentative="0">
      <w:start w:val="1"/>
      <w:numFmt w:val="bullet"/>
      <w:pStyle w:val="25"/>
      <w:lvlText w:val=""/>
      <w:lvlJc w:val="left"/>
      <w:pPr>
        <w:tabs>
          <w:tab w:val="left" w:pos="360"/>
        </w:tabs>
        <w:ind w:left="360" w:hanging="360"/>
      </w:pPr>
      <w:rPr>
        <w:rFonts w:hint="default" w:ascii="Wingdings" w:hAnsi="Wingdings"/>
      </w:rPr>
    </w:lvl>
  </w:abstractNum>
  <w:abstractNum w:abstractNumId="3">
    <w:nsid w:val="00000025"/>
    <w:multiLevelType w:val="multilevel"/>
    <w:tmpl w:val="00000025"/>
    <w:lvl w:ilvl="0" w:tentative="0">
      <w:start w:val="1"/>
      <w:numFmt w:val="decimal"/>
      <w:pStyle w:val="401"/>
      <w:lvlText w:val="%1."/>
      <w:lvlJc w:val="left"/>
      <w:pPr>
        <w:tabs>
          <w:tab w:val="left" w:pos="625"/>
        </w:tabs>
        <w:ind w:left="625" w:hanging="425"/>
      </w:pPr>
      <w:rPr>
        <w:rFonts w:hint="eastAsia"/>
      </w:rPr>
    </w:lvl>
    <w:lvl w:ilvl="1" w:tentative="0">
      <w:start w:val="1"/>
      <w:numFmt w:val="decimal"/>
      <w:lvlText w:val="%1.%2."/>
      <w:lvlJc w:val="left"/>
      <w:pPr>
        <w:tabs>
          <w:tab w:val="left" w:pos="767"/>
        </w:tabs>
        <w:ind w:left="767" w:hanging="567"/>
      </w:pPr>
      <w:rPr>
        <w:rFonts w:hint="eastAsia"/>
      </w:rPr>
    </w:lvl>
    <w:lvl w:ilvl="2" w:tentative="0">
      <w:start w:val="1"/>
      <w:numFmt w:val="decimal"/>
      <w:lvlText w:val="%1.%2.%3."/>
      <w:lvlJc w:val="left"/>
      <w:pPr>
        <w:tabs>
          <w:tab w:val="left" w:pos="909"/>
        </w:tabs>
        <w:ind w:left="909" w:hanging="709"/>
      </w:pPr>
      <w:rPr>
        <w:rFonts w:hint="eastAsia"/>
      </w:rPr>
    </w:lvl>
    <w:lvl w:ilvl="3" w:tentative="0">
      <w:start w:val="1"/>
      <w:numFmt w:val="decimal"/>
      <w:lvlText w:val="%1.%2.%3.%4."/>
      <w:lvlJc w:val="left"/>
      <w:pPr>
        <w:tabs>
          <w:tab w:val="left" w:pos="1051"/>
        </w:tabs>
        <w:ind w:left="1051" w:hanging="851"/>
      </w:pPr>
      <w:rPr>
        <w:rFonts w:hint="eastAsia"/>
      </w:rPr>
    </w:lvl>
    <w:lvl w:ilvl="4" w:tentative="0">
      <w:start w:val="1"/>
      <w:numFmt w:val="decimal"/>
      <w:lvlText w:val="%1.%2.%3.%4.%5."/>
      <w:lvlJc w:val="left"/>
      <w:pPr>
        <w:tabs>
          <w:tab w:val="left" w:pos="1192"/>
        </w:tabs>
        <w:ind w:left="1192" w:hanging="992"/>
      </w:pPr>
      <w:rPr>
        <w:rFonts w:hint="eastAsia"/>
      </w:rPr>
    </w:lvl>
    <w:lvl w:ilvl="5" w:tentative="0">
      <w:start w:val="6"/>
      <w:numFmt w:val="decimal"/>
      <w:lvlText w:val="7.%2.%3.2.1.2"/>
      <w:lvlJc w:val="left"/>
      <w:pPr>
        <w:tabs>
          <w:tab w:val="left" w:pos="1334"/>
        </w:tabs>
        <w:ind w:left="1334" w:hanging="1134"/>
      </w:pPr>
      <w:rPr>
        <w:rFonts w:hint="eastAsia"/>
      </w:rPr>
    </w:lvl>
    <w:lvl w:ilvl="6" w:tentative="0">
      <w:start w:val="1"/>
      <w:numFmt w:val="decimal"/>
      <w:lvlText w:val="%1.%2.%3.%4.%5.%6.%7."/>
      <w:lvlJc w:val="left"/>
      <w:pPr>
        <w:tabs>
          <w:tab w:val="left" w:pos="1476"/>
        </w:tabs>
        <w:ind w:left="1476" w:hanging="1276"/>
      </w:pPr>
      <w:rPr>
        <w:rFonts w:hint="eastAsia"/>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abstractNum w:abstractNumId="4">
    <w:nsid w:val="2BA9271A"/>
    <w:multiLevelType w:val="multilevel"/>
    <w:tmpl w:val="2BA9271A"/>
    <w:lvl w:ilvl="0" w:tentative="0">
      <w:start w:val="7"/>
      <w:numFmt w:val="decimal"/>
      <w:lvlText w:val="%1"/>
      <w:lvlJc w:val="left"/>
      <w:pPr>
        <w:tabs>
          <w:tab w:val="left" w:pos="432"/>
        </w:tabs>
        <w:ind w:left="432" w:hanging="432"/>
      </w:pPr>
      <w:rPr>
        <w:rFonts w:hint="default" w:ascii="Times New Roman" w:hAnsi="Times New Roman" w:cs="Times New Roman"/>
      </w:rPr>
    </w:lvl>
    <w:lvl w:ilvl="1" w:tentative="0">
      <w:start w:val="2"/>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577E4335"/>
    <w:multiLevelType w:val="multilevel"/>
    <w:tmpl w:val="577E4335"/>
    <w:lvl w:ilvl="0" w:tentative="0">
      <w:start w:val="3"/>
      <w:numFmt w:val="decimal"/>
      <w:pStyle w:val="953"/>
      <w:lvlText w:val="%1"/>
      <w:lvlJc w:val="left"/>
      <w:pPr>
        <w:ind w:left="360" w:hanging="360"/>
      </w:pPr>
      <w:rPr>
        <w:rFonts w:hint="default" w:ascii="仿宋_GB2312" w:eastAsia="仿宋_GB2312"/>
        <w:color w:val="000000"/>
      </w:rPr>
    </w:lvl>
    <w:lvl w:ilvl="1" w:tentative="0">
      <w:start w:val="1"/>
      <w:numFmt w:val="decimal"/>
      <w:lvlText w:val="%1.%2"/>
      <w:lvlJc w:val="left"/>
      <w:pPr>
        <w:ind w:left="720" w:hanging="360"/>
      </w:pPr>
      <w:rPr>
        <w:rFonts w:hint="default" w:ascii="仿宋_GB2312" w:eastAsia="仿宋_GB2312"/>
        <w:color w:val="000000"/>
      </w:rPr>
    </w:lvl>
    <w:lvl w:ilvl="2" w:tentative="0">
      <w:start w:val="1"/>
      <w:numFmt w:val="decimal"/>
      <w:lvlText w:val="%1.%2.%3"/>
      <w:lvlJc w:val="left"/>
      <w:pPr>
        <w:ind w:left="1440" w:hanging="720"/>
      </w:pPr>
      <w:rPr>
        <w:rFonts w:hint="default" w:ascii="仿宋_GB2312" w:eastAsia="仿宋_GB2312"/>
        <w:color w:val="000000"/>
      </w:rPr>
    </w:lvl>
    <w:lvl w:ilvl="3" w:tentative="0">
      <w:start w:val="1"/>
      <w:numFmt w:val="decimal"/>
      <w:lvlText w:val="%1.%2.%3.%4"/>
      <w:lvlJc w:val="left"/>
      <w:pPr>
        <w:ind w:left="2160" w:hanging="1080"/>
      </w:pPr>
      <w:rPr>
        <w:rFonts w:hint="default" w:ascii="仿宋_GB2312" w:eastAsia="仿宋_GB2312"/>
        <w:color w:val="000000"/>
      </w:rPr>
    </w:lvl>
    <w:lvl w:ilvl="4" w:tentative="0">
      <w:start w:val="1"/>
      <w:numFmt w:val="decimal"/>
      <w:lvlText w:val="%1.%2.%3.%4.%5"/>
      <w:lvlJc w:val="left"/>
      <w:pPr>
        <w:ind w:left="2520" w:hanging="1080"/>
      </w:pPr>
      <w:rPr>
        <w:rFonts w:hint="default" w:ascii="仿宋_GB2312" w:eastAsia="仿宋_GB2312"/>
        <w:color w:val="000000"/>
      </w:rPr>
    </w:lvl>
    <w:lvl w:ilvl="5" w:tentative="0">
      <w:start w:val="1"/>
      <w:numFmt w:val="decimal"/>
      <w:lvlText w:val="%1.%2.%3.%4.%5.%6"/>
      <w:lvlJc w:val="left"/>
      <w:pPr>
        <w:ind w:left="3240" w:hanging="1440"/>
      </w:pPr>
      <w:rPr>
        <w:rFonts w:hint="default" w:ascii="仿宋_GB2312" w:eastAsia="仿宋_GB2312"/>
        <w:color w:val="000000"/>
      </w:rPr>
    </w:lvl>
    <w:lvl w:ilvl="6" w:tentative="0">
      <w:start w:val="1"/>
      <w:numFmt w:val="decimal"/>
      <w:lvlText w:val="%1.%2.%3.%4.%5.%6.%7"/>
      <w:lvlJc w:val="left"/>
      <w:pPr>
        <w:ind w:left="3960" w:hanging="1800"/>
      </w:pPr>
      <w:rPr>
        <w:rFonts w:hint="default" w:ascii="仿宋_GB2312" w:eastAsia="仿宋_GB2312"/>
        <w:color w:val="000000"/>
      </w:rPr>
    </w:lvl>
    <w:lvl w:ilvl="7" w:tentative="0">
      <w:start w:val="1"/>
      <w:numFmt w:val="decimal"/>
      <w:lvlText w:val="%1.%2.%3.%4.%5.%6.%7.%8"/>
      <w:lvlJc w:val="left"/>
      <w:pPr>
        <w:ind w:left="4320" w:hanging="1800"/>
      </w:pPr>
      <w:rPr>
        <w:rFonts w:hint="default" w:ascii="仿宋_GB2312" w:eastAsia="仿宋_GB2312"/>
        <w:color w:val="000000"/>
      </w:rPr>
    </w:lvl>
    <w:lvl w:ilvl="8" w:tentative="0">
      <w:start w:val="1"/>
      <w:numFmt w:val="decimal"/>
      <w:lvlText w:val="%1.%2.%3.%4.%5.%6.%7.%8.%9"/>
      <w:lvlJc w:val="left"/>
      <w:pPr>
        <w:ind w:left="5040" w:hanging="2160"/>
      </w:pPr>
      <w:rPr>
        <w:rFonts w:hint="default" w:ascii="仿宋_GB2312" w:eastAsia="仿宋_GB2312"/>
        <w:color w:val="000000"/>
      </w:rPr>
    </w:lvl>
  </w:abstractNum>
  <w:abstractNum w:abstractNumId="6">
    <w:nsid w:val="6F224658"/>
    <w:multiLevelType w:val="multilevel"/>
    <w:tmpl w:val="6F224658"/>
    <w:lvl w:ilvl="0" w:tentative="0">
      <w:start w:val="7"/>
      <w:numFmt w:val="decimal"/>
      <w:lvlText w:val="%1"/>
      <w:lvlJc w:val="left"/>
      <w:pPr>
        <w:tabs>
          <w:tab w:val="left" w:pos="432"/>
        </w:tabs>
        <w:ind w:left="432" w:hanging="432"/>
      </w:pPr>
      <w:rPr>
        <w:rFonts w:hint="default" w:ascii="Times New Roman" w:hAnsi="Times New Roman" w:cs="Times New Roman"/>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2"/>
  </w:num>
  <w:num w:numId="3">
    <w:abstractNumId w:val="3"/>
  </w:num>
  <w:num w:numId="4">
    <w:abstractNumId w:val="5"/>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hideSpellingErrors/>
  <w:trackRevisions w:val="1"/>
  <w:documentProtection w:edit="readOnly"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E4A7E"/>
    <w:rsid w:val="00001846"/>
    <w:rsid w:val="00001A05"/>
    <w:rsid w:val="00001E00"/>
    <w:rsid w:val="00005700"/>
    <w:rsid w:val="00007135"/>
    <w:rsid w:val="000118F5"/>
    <w:rsid w:val="00015EA0"/>
    <w:rsid w:val="00016AA7"/>
    <w:rsid w:val="00016DC1"/>
    <w:rsid w:val="000170F8"/>
    <w:rsid w:val="0002058E"/>
    <w:rsid w:val="00026E43"/>
    <w:rsid w:val="00035299"/>
    <w:rsid w:val="000352E4"/>
    <w:rsid w:val="000357EC"/>
    <w:rsid w:val="000402F3"/>
    <w:rsid w:val="0004416C"/>
    <w:rsid w:val="00050784"/>
    <w:rsid w:val="00051102"/>
    <w:rsid w:val="000530AD"/>
    <w:rsid w:val="00061DB8"/>
    <w:rsid w:val="000643B6"/>
    <w:rsid w:val="00065330"/>
    <w:rsid w:val="0006648E"/>
    <w:rsid w:val="00071DAD"/>
    <w:rsid w:val="00074B5F"/>
    <w:rsid w:val="00076BB4"/>
    <w:rsid w:val="00076C90"/>
    <w:rsid w:val="000808F4"/>
    <w:rsid w:val="00082547"/>
    <w:rsid w:val="00083DA8"/>
    <w:rsid w:val="00084649"/>
    <w:rsid w:val="00084A4C"/>
    <w:rsid w:val="000852E7"/>
    <w:rsid w:val="00085577"/>
    <w:rsid w:val="000863C7"/>
    <w:rsid w:val="00087F21"/>
    <w:rsid w:val="00091D6A"/>
    <w:rsid w:val="00092228"/>
    <w:rsid w:val="00093317"/>
    <w:rsid w:val="00093B97"/>
    <w:rsid w:val="00095492"/>
    <w:rsid w:val="0009567B"/>
    <w:rsid w:val="00096610"/>
    <w:rsid w:val="00096B1B"/>
    <w:rsid w:val="00097D3F"/>
    <w:rsid w:val="000A1845"/>
    <w:rsid w:val="000A32B9"/>
    <w:rsid w:val="000A7934"/>
    <w:rsid w:val="000B4AF8"/>
    <w:rsid w:val="000B7DF6"/>
    <w:rsid w:val="000C1252"/>
    <w:rsid w:val="000C182C"/>
    <w:rsid w:val="000C2EC5"/>
    <w:rsid w:val="000C3250"/>
    <w:rsid w:val="000C37D5"/>
    <w:rsid w:val="000C403E"/>
    <w:rsid w:val="000C444F"/>
    <w:rsid w:val="000C7E86"/>
    <w:rsid w:val="000D0A42"/>
    <w:rsid w:val="000D2A26"/>
    <w:rsid w:val="000D2DAB"/>
    <w:rsid w:val="000D50F0"/>
    <w:rsid w:val="000D7188"/>
    <w:rsid w:val="000E5B4B"/>
    <w:rsid w:val="000E7F58"/>
    <w:rsid w:val="000F26CC"/>
    <w:rsid w:val="000F756C"/>
    <w:rsid w:val="001008F2"/>
    <w:rsid w:val="0010395C"/>
    <w:rsid w:val="00105817"/>
    <w:rsid w:val="00105886"/>
    <w:rsid w:val="00105BFB"/>
    <w:rsid w:val="0010719D"/>
    <w:rsid w:val="00113489"/>
    <w:rsid w:val="00113857"/>
    <w:rsid w:val="00114971"/>
    <w:rsid w:val="00114DFE"/>
    <w:rsid w:val="00117DF4"/>
    <w:rsid w:val="001203A1"/>
    <w:rsid w:val="00120D3D"/>
    <w:rsid w:val="0012284B"/>
    <w:rsid w:val="001235D0"/>
    <w:rsid w:val="00125521"/>
    <w:rsid w:val="001269C8"/>
    <w:rsid w:val="00126BF6"/>
    <w:rsid w:val="0013057D"/>
    <w:rsid w:val="00131089"/>
    <w:rsid w:val="00131A49"/>
    <w:rsid w:val="00133A69"/>
    <w:rsid w:val="00133E6E"/>
    <w:rsid w:val="001347E9"/>
    <w:rsid w:val="00134DE9"/>
    <w:rsid w:val="00135D9A"/>
    <w:rsid w:val="001377BD"/>
    <w:rsid w:val="0014097C"/>
    <w:rsid w:val="00140C51"/>
    <w:rsid w:val="00144C3A"/>
    <w:rsid w:val="00144C4A"/>
    <w:rsid w:val="001462AF"/>
    <w:rsid w:val="001470F9"/>
    <w:rsid w:val="0014796D"/>
    <w:rsid w:val="00147AB9"/>
    <w:rsid w:val="00154487"/>
    <w:rsid w:val="00155256"/>
    <w:rsid w:val="00155942"/>
    <w:rsid w:val="00162D26"/>
    <w:rsid w:val="00162FCA"/>
    <w:rsid w:val="001642C7"/>
    <w:rsid w:val="00165DD1"/>
    <w:rsid w:val="0016655A"/>
    <w:rsid w:val="00166E4F"/>
    <w:rsid w:val="00167929"/>
    <w:rsid w:val="001733AE"/>
    <w:rsid w:val="00181C75"/>
    <w:rsid w:val="00183679"/>
    <w:rsid w:val="0019340F"/>
    <w:rsid w:val="001938F3"/>
    <w:rsid w:val="00195AF0"/>
    <w:rsid w:val="001A053D"/>
    <w:rsid w:val="001A0745"/>
    <w:rsid w:val="001A1C36"/>
    <w:rsid w:val="001A4593"/>
    <w:rsid w:val="001A6B5C"/>
    <w:rsid w:val="001A7B47"/>
    <w:rsid w:val="001B1372"/>
    <w:rsid w:val="001C3DD0"/>
    <w:rsid w:val="001C3E01"/>
    <w:rsid w:val="001C7D0D"/>
    <w:rsid w:val="001C7D5C"/>
    <w:rsid w:val="001D0670"/>
    <w:rsid w:val="001D0A1A"/>
    <w:rsid w:val="001D2280"/>
    <w:rsid w:val="001D2CB6"/>
    <w:rsid w:val="001D4B0A"/>
    <w:rsid w:val="001D56B9"/>
    <w:rsid w:val="001E2EF4"/>
    <w:rsid w:val="001E3CB1"/>
    <w:rsid w:val="001E4A0F"/>
    <w:rsid w:val="001E4E71"/>
    <w:rsid w:val="001F6A38"/>
    <w:rsid w:val="00200105"/>
    <w:rsid w:val="002004AC"/>
    <w:rsid w:val="00200F15"/>
    <w:rsid w:val="00203CBE"/>
    <w:rsid w:val="0020439A"/>
    <w:rsid w:val="0020445A"/>
    <w:rsid w:val="00206B81"/>
    <w:rsid w:val="0021383C"/>
    <w:rsid w:val="00213850"/>
    <w:rsid w:val="00216C71"/>
    <w:rsid w:val="0021742B"/>
    <w:rsid w:val="00217D3C"/>
    <w:rsid w:val="00220407"/>
    <w:rsid w:val="00222802"/>
    <w:rsid w:val="00224E43"/>
    <w:rsid w:val="00225770"/>
    <w:rsid w:val="00232A4C"/>
    <w:rsid w:val="00236F4F"/>
    <w:rsid w:val="00244E3A"/>
    <w:rsid w:val="00244FA1"/>
    <w:rsid w:val="00245A9C"/>
    <w:rsid w:val="00247D40"/>
    <w:rsid w:val="00253D28"/>
    <w:rsid w:val="00253DA9"/>
    <w:rsid w:val="00256D28"/>
    <w:rsid w:val="002574B0"/>
    <w:rsid w:val="00260DB6"/>
    <w:rsid w:val="002673EE"/>
    <w:rsid w:val="00267853"/>
    <w:rsid w:val="00267C42"/>
    <w:rsid w:val="0027360B"/>
    <w:rsid w:val="00276D9D"/>
    <w:rsid w:val="00276FA6"/>
    <w:rsid w:val="002774B1"/>
    <w:rsid w:val="00280506"/>
    <w:rsid w:val="00280EB4"/>
    <w:rsid w:val="00282290"/>
    <w:rsid w:val="00282A19"/>
    <w:rsid w:val="00284073"/>
    <w:rsid w:val="00284358"/>
    <w:rsid w:val="0028489A"/>
    <w:rsid w:val="00284F1E"/>
    <w:rsid w:val="0028559E"/>
    <w:rsid w:val="00286BFC"/>
    <w:rsid w:val="002901D3"/>
    <w:rsid w:val="0029101F"/>
    <w:rsid w:val="0029159A"/>
    <w:rsid w:val="00292031"/>
    <w:rsid w:val="0029225F"/>
    <w:rsid w:val="00292D89"/>
    <w:rsid w:val="002970ED"/>
    <w:rsid w:val="00297582"/>
    <w:rsid w:val="002A079A"/>
    <w:rsid w:val="002A0884"/>
    <w:rsid w:val="002A29C4"/>
    <w:rsid w:val="002A6E2C"/>
    <w:rsid w:val="002A729D"/>
    <w:rsid w:val="002A793A"/>
    <w:rsid w:val="002B0449"/>
    <w:rsid w:val="002B1EA0"/>
    <w:rsid w:val="002B3237"/>
    <w:rsid w:val="002B35A8"/>
    <w:rsid w:val="002C30BC"/>
    <w:rsid w:val="002C4ABB"/>
    <w:rsid w:val="002C4C15"/>
    <w:rsid w:val="002C7193"/>
    <w:rsid w:val="002D28C1"/>
    <w:rsid w:val="002D3348"/>
    <w:rsid w:val="002D53C7"/>
    <w:rsid w:val="002D6D25"/>
    <w:rsid w:val="002D6DCA"/>
    <w:rsid w:val="002E078B"/>
    <w:rsid w:val="002E24C9"/>
    <w:rsid w:val="002E352B"/>
    <w:rsid w:val="002E5478"/>
    <w:rsid w:val="002E59F4"/>
    <w:rsid w:val="002F1AD7"/>
    <w:rsid w:val="002F3549"/>
    <w:rsid w:val="002F47C4"/>
    <w:rsid w:val="002F70EB"/>
    <w:rsid w:val="003127DD"/>
    <w:rsid w:val="00313E65"/>
    <w:rsid w:val="00314433"/>
    <w:rsid w:val="0031507C"/>
    <w:rsid w:val="00315AD9"/>
    <w:rsid w:val="0032280D"/>
    <w:rsid w:val="00324197"/>
    <w:rsid w:val="00325C3A"/>
    <w:rsid w:val="00332A67"/>
    <w:rsid w:val="00333397"/>
    <w:rsid w:val="003347B0"/>
    <w:rsid w:val="00343E21"/>
    <w:rsid w:val="00344174"/>
    <w:rsid w:val="00345DF0"/>
    <w:rsid w:val="00347864"/>
    <w:rsid w:val="00347FE5"/>
    <w:rsid w:val="003527B4"/>
    <w:rsid w:val="00353231"/>
    <w:rsid w:val="00355980"/>
    <w:rsid w:val="0035599F"/>
    <w:rsid w:val="0036000E"/>
    <w:rsid w:val="00362C20"/>
    <w:rsid w:val="003645B3"/>
    <w:rsid w:val="00366C41"/>
    <w:rsid w:val="00370A0E"/>
    <w:rsid w:val="003728B7"/>
    <w:rsid w:val="00372EB1"/>
    <w:rsid w:val="0037375D"/>
    <w:rsid w:val="00383488"/>
    <w:rsid w:val="003847D4"/>
    <w:rsid w:val="003877EC"/>
    <w:rsid w:val="00391807"/>
    <w:rsid w:val="00396BC5"/>
    <w:rsid w:val="00396D2B"/>
    <w:rsid w:val="00397671"/>
    <w:rsid w:val="003A073C"/>
    <w:rsid w:val="003A2948"/>
    <w:rsid w:val="003A296E"/>
    <w:rsid w:val="003A63FE"/>
    <w:rsid w:val="003A6944"/>
    <w:rsid w:val="003B09B0"/>
    <w:rsid w:val="003B15FE"/>
    <w:rsid w:val="003B2267"/>
    <w:rsid w:val="003B2666"/>
    <w:rsid w:val="003B287A"/>
    <w:rsid w:val="003B4DC2"/>
    <w:rsid w:val="003B7BE6"/>
    <w:rsid w:val="003C2F1C"/>
    <w:rsid w:val="003C3CEF"/>
    <w:rsid w:val="003C5978"/>
    <w:rsid w:val="003D180C"/>
    <w:rsid w:val="003D22D0"/>
    <w:rsid w:val="003D28D5"/>
    <w:rsid w:val="003D3AC2"/>
    <w:rsid w:val="003D3C20"/>
    <w:rsid w:val="003D62DB"/>
    <w:rsid w:val="003D72C4"/>
    <w:rsid w:val="003D758D"/>
    <w:rsid w:val="003D79CB"/>
    <w:rsid w:val="003E0201"/>
    <w:rsid w:val="003E163B"/>
    <w:rsid w:val="003E29FE"/>
    <w:rsid w:val="003E4154"/>
    <w:rsid w:val="003E42F4"/>
    <w:rsid w:val="003E598D"/>
    <w:rsid w:val="003E77D0"/>
    <w:rsid w:val="003F0C24"/>
    <w:rsid w:val="003F1E52"/>
    <w:rsid w:val="003F502A"/>
    <w:rsid w:val="003F674D"/>
    <w:rsid w:val="003F75BB"/>
    <w:rsid w:val="003F7ADD"/>
    <w:rsid w:val="0040159B"/>
    <w:rsid w:val="00402371"/>
    <w:rsid w:val="00402762"/>
    <w:rsid w:val="00402FFD"/>
    <w:rsid w:val="0040571B"/>
    <w:rsid w:val="004079C4"/>
    <w:rsid w:val="004102B1"/>
    <w:rsid w:val="00412A9A"/>
    <w:rsid w:val="004130D0"/>
    <w:rsid w:val="004134A2"/>
    <w:rsid w:val="00417B71"/>
    <w:rsid w:val="00417E7C"/>
    <w:rsid w:val="00423E50"/>
    <w:rsid w:val="00430042"/>
    <w:rsid w:val="00430ADC"/>
    <w:rsid w:val="0043192C"/>
    <w:rsid w:val="004336AC"/>
    <w:rsid w:val="00434E77"/>
    <w:rsid w:val="00435BBC"/>
    <w:rsid w:val="00441466"/>
    <w:rsid w:val="004428F3"/>
    <w:rsid w:val="00445E17"/>
    <w:rsid w:val="004573C5"/>
    <w:rsid w:val="004600BC"/>
    <w:rsid w:val="00460A65"/>
    <w:rsid w:val="00460DDB"/>
    <w:rsid w:val="00461659"/>
    <w:rsid w:val="004629B3"/>
    <w:rsid w:val="00464AC4"/>
    <w:rsid w:val="00465C65"/>
    <w:rsid w:val="00472F17"/>
    <w:rsid w:val="00474873"/>
    <w:rsid w:val="00475317"/>
    <w:rsid w:val="00475923"/>
    <w:rsid w:val="00476C17"/>
    <w:rsid w:val="0047723C"/>
    <w:rsid w:val="0047768E"/>
    <w:rsid w:val="004776EF"/>
    <w:rsid w:val="0048131D"/>
    <w:rsid w:val="0048316E"/>
    <w:rsid w:val="0048618E"/>
    <w:rsid w:val="00486830"/>
    <w:rsid w:val="0048708D"/>
    <w:rsid w:val="004879AC"/>
    <w:rsid w:val="00487DC1"/>
    <w:rsid w:val="0049058B"/>
    <w:rsid w:val="00490C2A"/>
    <w:rsid w:val="00494E1B"/>
    <w:rsid w:val="00494E45"/>
    <w:rsid w:val="00496201"/>
    <w:rsid w:val="004A065E"/>
    <w:rsid w:val="004A1133"/>
    <w:rsid w:val="004A16A8"/>
    <w:rsid w:val="004A201E"/>
    <w:rsid w:val="004A2582"/>
    <w:rsid w:val="004A56FC"/>
    <w:rsid w:val="004B1A5A"/>
    <w:rsid w:val="004B3063"/>
    <w:rsid w:val="004B650C"/>
    <w:rsid w:val="004B663E"/>
    <w:rsid w:val="004B7084"/>
    <w:rsid w:val="004B7B2F"/>
    <w:rsid w:val="004C5F06"/>
    <w:rsid w:val="004D2790"/>
    <w:rsid w:val="004D5519"/>
    <w:rsid w:val="004D6C41"/>
    <w:rsid w:val="004E019B"/>
    <w:rsid w:val="004E02CE"/>
    <w:rsid w:val="004E131F"/>
    <w:rsid w:val="004E140E"/>
    <w:rsid w:val="004E3F86"/>
    <w:rsid w:val="004E5048"/>
    <w:rsid w:val="004E6481"/>
    <w:rsid w:val="004E7159"/>
    <w:rsid w:val="004F0055"/>
    <w:rsid w:val="004F6507"/>
    <w:rsid w:val="0050039A"/>
    <w:rsid w:val="00502BEE"/>
    <w:rsid w:val="00503182"/>
    <w:rsid w:val="00506558"/>
    <w:rsid w:val="005069EC"/>
    <w:rsid w:val="00506C95"/>
    <w:rsid w:val="00510AE4"/>
    <w:rsid w:val="00511EAA"/>
    <w:rsid w:val="00512977"/>
    <w:rsid w:val="00513ED0"/>
    <w:rsid w:val="00514FFC"/>
    <w:rsid w:val="00515A51"/>
    <w:rsid w:val="00515D01"/>
    <w:rsid w:val="0051753F"/>
    <w:rsid w:val="00520165"/>
    <w:rsid w:val="005241FF"/>
    <w:rsid w:val="00524688"/>
    <w:rsid w:val="005259CB"/>
    <w:rsid w:val="00526800"/>
    <w:rsid w:val="00530C54"/>
    <w:rsid w:val="00530C9D"/>
    <w:rsid w:val="00532E66"/>
    <w:rsid w:val="005351D9"/>
    <w:rsid w:val="0053551B"/>
    <w:rsid w:val="00535598"/>
    <w:rsid w:val="00535D56"/>
    <w:rsid w:val="005413A8"/>
    <w:rsid w:val="00542785"/>
    <w:rsid w:val="00545694"/>
    <w:rsid w:val="005458F2"/>
    <w:rsid w:val="00546047"/>
    <w:rsid w:val="00553EDA"/>
    <w:rsid w:val="005542DA"/>
    <w:rsid w:val="0056300A"/>
    <w:rsid w:val="00565A28"/>
    <w:rsid w:val="00565DDC"/>
    <w:rsid w:val="0056734A"/>
    <w:rsid w:val="00567E39"/>
    <w:rsid w:val="00571FE5"/>
    <w:rsid w:val="00574023"/>
    <w:rsid w:val="0058073C"/>
    <w:rsid w:val="00581887"/>
    <w:rsid w:val="00581E67"/>
    <w:rsid w:val="005849E6"/>
    <w:rsid w:val="0058671F"/>
    <w:rsid w:val="00586871"/>
    <w:rsid w:val="00587112"/>
    <w:rsid w:val="00592D49"/>
    <w:rsid w:val="00593E3C"/>
    <w:rsid w:val="00594340"/>
    <w:rsid w:val="00594747"/>
    <w:rsid w:val="00595EF8"/>
    <w:rsid w:val="0059631C"/>
    <w:rsid w:val="00596482"/>
    <w:rsid w:val="00596F89"/>
    <w:rsid w:val="00596FA4"/>
    <w:rsid w:val="00597158"/>
    <w:rsid w:val="0059760B"/>
    <w:rsid w:val="005A3917"/>
    <w:rsid w:val="005A60CA"/>
    <w:rsid w:val="005A7A8E"/>
    <w:rsid w:val="005B0091"/>
    <w:rsid w:val="005B08F8"/>
    <w:rsid w:val="005B148C"/>
    <w:rsid w:val="005B2B9F"/>
    <w:rsid w:val="005B2EAD"/>
    <w:rsid w:val="005B37E0"/>
    <w:rsid w:val="005B51B4"/>
    <w:rsid w:val="005B6B92"/>
    <w:rsid w:val="005B7C96"/>
    <w:rsid w:val="005C0C3B"/>
    <w:rsid w:val="005C1C65"/>
    <w:rsid w:val="005C3A63"/>
    <w:rsid w:val="005C4F77"/>
    <w:rsid w:val="005C7EA7"/>
    <w:rsid w:val="005D64E2"/>
    <w:rsid w:val="005E0078"/>
    <w:rsid w:val="005E0E03"/>
    <w:rsid w:val="005E17DB"/>
    <w:rsid w:val="005E5466"/>
    <w:rsid w:val="005E732F"/>
    <w:rsid w:val="005E7C41"/>
    <w:rsid w:val="005E7F2D"/>
    <w:rsid w:val="005F2193"/>
    <w:rsid w:val="005F2BBD"/>
    <w:rsid w:val="005F49F3"/>
    <w:rsid w:val="005F541B"/>
    <w:rsid w:val="005F60FD"/>
    <w:rsid w:val="00600F71"/>
    <w:rsid w:val="006039CB"/>
    <w:rsid w:val="00603B31"/>
    <w:rsid w:val="00603B42"/>
    <w:rsid w:val="00603B45"/>
    <w:rsid w:val="00603C93"/>
    <w:rsid w:val="006042B4"/>
    <w:rsid w:val="00604F22"/>
    <w:rsid w:val="00605231"/>
    <w:rsid w:val="00610E96"/>
    <w:rsid w:val="00611CCB"/>
    <w:rsid w:val="0061292C"/>
    <w:rsid w:val="00620B6C"/>
    <w:rsid w:val="00620B88"/>
    <w:rsid w:val="006229F1"/>
    <w:rsid w:val="00623D3B"/>
    <w:rsid w:val="0062447B"/>
    <w:rsid w:val="006413D8"/>
    <w:rsid w:val="00641F66"/>
    <w:rsid w:val="00642286"/>
    <w:rsid w:val="00645263"/>
    <w:rsid w:val="00645273"/>
    <w:rsid w:val="006466CF"/>
    <w:rsid w:val="00646B5A"/>
    <w:rsid w:val="00653328"/>
    <w:rsid w:val="00654E5F"/>
    <w:rsid w:val="00655B5B"/>
    <w:rsid w:val="00656B10"/>
    <w:rsid w:val="00660A0C"/>
    <w:rsid w:val="00662D01"/>
    <w:rsid w:val="00663331"/>
    <w:rsid w:val="00663C53"/>
    <w:rsid w:val="00666CCE"/>
    <w:rsid w:val="00667E51"/>
    <w:rsid w:val="0067335B"/>
    <w:rsid w:val="00674632"/>
    <w:rsid w:val="00684B29"/>
    <w:rsid w:val="00684E56"/>
    <w:rsid w:val="00692708"/>
    <w:rsid w:val="00693EDC"/>
    <w:rsid w:val="0069409A"/>
    <w:rsid w:val="00695B71"/>
    <w:rsid w:val="00696412"/>
    <w:rsid w:val="00696744"/>
    <w:rsid w:val="006969F3"/>
    <w:rsid w:val="00697019"/>
    <w:rsid w:val="006971AB"/>
    <w:rsid w:val="006A0E9A"/>
    <w:rsid w:val="006A2B39"/>
    <w:rsid w:val="006A3395"/>
    <w:rsid w:val="006A3780"/>
    <w:rsid w:val="006A5AA3"/>
    <w:rsid w:val="006A71D3"/>
    <w:rsid w:val="006B256F"/>
    <w:rsid w:val="006B3C5C"/>
    <w:rsid w:val="006B445F"/>
    <w:rsid w:val="006B4542"/>
    <w:rsid w:val="006B46E2"/>
    <w:rsid w:val="006B5419"/>
    <w:rsid w:val="006B7620"/>
    <w:rsid w:val="006C1408"/>
    <w:rsid w:val="006C2933"/>
    <w:rsid w:val="006C2C55"/>
    <w:rsid w:val="006C2D72"/>
    <w:rsid w:val="006C43F3"/>
    <w:rsid w:val="006C4E8D"/>
    <w:rsid w:val="006C5708"/>
    <w:rsid w:val="006C754B"/>
    <w:rsid w:val="006D1C3F"/>
    <w:rsid w:val="006D1CCC"/>
    <w:rsid w:val="006D3B76"/>
    <w:rsid w:val="006D443E"/>
    <w:rsid w:val="006D5B5E"/>
    <w:rsid w:val="006D5E15"/>
    <w:rsid w:val="006E4430"/>
    <w:rsid w:val="006E44FF"/>
    <w:rsid w:val="006E4819"/>
    <w:rsid w:val="006F0546"/>
    <w:rsid w:val="006F06D8"/>
    <w:rsid w:val="006F157D"/>
    <w:rsid w:val="006F452E"/>
    <w:rsid w:val="006F47E3"/>
    <w:rsid w:val="006F6DAE"/>
    <w:rsid w:val="007012D4"/>
    <w:rsid w:val="00701AA2"/>
    <w:rsid w:val="00701DD1"/>
    <w:rsid w:val="00702E32"/>
    <w:rsid w:val="007050EE"/>
    <w:rsid w:val="00706118"/>
    <w:rsid w:val="00706E63"/>
    <w:rsid w:val="00711C8E"/>
    <w:rsid w:val="00711FE8"/>
    <w:rsid w:val="00714308"/>
    <w:rsid w:val="0071468D"/>
    <w:rsid w:val="00716748"/>
    <w:rsid w:val="00721695"/>
    <w:rsid w:val="007238CA"/>
    <w:rsid w:val="00724901"/>
    <w:rsid w:val="00724E9D"/>
    <w:rsid w:val="00725128"/>
    <w:rsid w:val="0073023A"/>
    <w:rsid w:val="007305D6"/>
    <w:rsid w:val="00730732"/>
    <w:rsid w:val="00730A65"/>
    <w:rsid w:val="007322CE"/>
    <w:rsid w:val="007348C5"/>
    <w:rsid w:val="0073501E"/>
    <w:rsid w:val="007372AB"/>
    <w:rsid w:val="00737975"/>
    <w:rsid w:val="00740FFC"/>
    <w:rsid w:val="007445A8"/>
    <w:rsid w:val="0074504C"/>
    <w:rsid w:val="00747ECF"/>
    <w:rsid w:val="007500A2"/>
    <w:rsid w:val="007548C9"/>
    <w:rsid w:val="0076046C"/>
    <w:rsid w:val="007615C8"/>
    <w:rsid w:val="007624A4"/>
    <w:rsid w:val="00762B5C"/>
    <w:rsid w:val="0076354C"/>
    <w:rsid w:val="007662BC"/>
    <w:rsid w:val="00766400"/>
    <w:rsid w:val="00770509"/>
    <w:rsid w:val="0077155B"/>
    <w:rsid w:val="00773720"/>
    <w:rsid w:val="00775252"/>
    <w:rsid w:val="00775DE9"/>
    <w:rsid w:val="00776474"/>
    <w:rsid w:val="007770DF"/>
    <w:rsid w:val="00780292"/>
    <w:rsid w:val="007838A6"/>
    <w:rsid w:val="007857DC"/>
    <w:rsid w:val="00786E4A"/>
    <w:rsid w:val="007910DD"/>
    <w:rsid w:val="00791640"/>
    <w:rsid w:val="00791890"/>
    <w:rsid w:val="0079219F"/>
    <w:rsid w:val="0079277E"/>
    <w:rsid w:val="007929B7"/>
    <w:rsid w:val="007929FF"/>
    <w:rsid w:val="00792C1A"/>
    <w:rsid w:val="00795BC0"/>
    <w:rsid w:val="00796B81"/>
    <w:rsid w:val="0079700F"/>
    <w:rsid w:val="00797F4C"/>
    <w:rsid w:val="007A4C79"/>
    <w:rsid w:val="007A5EF0"/>
    <w:rsid w:val="007A6234"/>
    <w:rsid w:val="007A7BAD"/>
    <w:rsid w:val="007A7C51"/>
    <w:rsid w:val="007B069F"/>
    <w:rsid w:val="007B358E"/>
    <w:rsid w:val="007B3A2C"/>
    <w:rsid w:val="007B4C44"/>
    <w:rsid w:val="007C0207"/>
    <w:rsid w:val="007C0A48"/>
    <w:rsid w:val="007C1106"/>
    <w:rsid w:val="007C11B8"/>
    <w:rsid w:val="007C1B29"/>
    <w:rsid w:val="007C1CA6"/>
    <w:rsid w:val="007C4319"/>
    <w:rsid w:val="007C6DF8"/>
    <w:rsid w:val="007D14D2"/>
    <w:rsid w:val="007D3443"/>
    <w:rsid w:val="007D3C32"/>
    <w:rsid w:val="007D4C3C"/>
    <w:rsid w:val="007D607D"/>
    <w:rsid w:val="007E1392"/>
    <w:rsid w:val="007E3647"/>
    <w:rsid w:val="007E36B6"/>
    <w:rsid w:val="007E5964"/>
    <w:rsid w:val="007E701D"/>
    <w:rsid w:val="007E7B97"/>
    <w:rsid w:val="007F1EA6"/>
    <w:rsid w:val="007F2455"/>
    <w:rsid w:val="007F2962"/>
    <w:rsid w:val="007F3186"/>
    <w:rsid w:val="007F3752"/>
    <w:rsid w:val="007F453E"/>
    <w:rsid w:val="007F58A0"/>
    <w:rsid w:val="007F605F"/>
    <w:rsid w:val="007F61C4"/>
    <w:rsid w:val="007F719D"/>
    <w:rsid w:val="008028E4"/>
    <w:rsid w:val="0080358B"/>
    <w:rsid w:val="008043B6"/>
    <w:rsid w:val="008064A5"/>
    <w:rsid w:val="008074F1"/>
    <w:rsid w:val="008201A1"/>
    <w:rsid w:val="00820632"/>
    <w:rsid w:val="00820752"/>
    <w:rsid w:val="00820D75"/>
    <w:rsid w:val="00826498"/>
    <w:rsid w:val="00826746"/>
    <w:rsid w:val="00832ED6"/>
    <w:rsid w:val="008344EE"/>
    <w:rsid w:val="00834510"/>
    <w:rsid w:val="008348FA"/>
    <w:rsid w:val="008369FE"/>
    <w:rsid w:val="00837454"/>
    <w:rsid w:val="00844B47"/>
    <w:rsid w:val="00845F09"/>
    <w:rsid w:val="00846063"/>
    <w:rsid w:val="00856252"/>
    <w:rsid w:val="00863753"/>
    <w:rsid w:val="00867553"/>
    <w:rsid w:val="00873066"/>
    <w:rsid w:val="008735C6"/>
    <w:rsid w:val="00874918"/>
    <w:rsid w:val="00875F44"/>
    <w:rsid w:val="00877CB8"/>
    <w:rsid w:val="0088108B"/>
    <w:rsid w:val="008815D1"/>
    <w:rsid w:val="008825B8"/>
    <w:rsid w:val="00890D86"/>
    <w:rsid w:val="0089189F"/>
    <w:rsid w:val="00894DE0"/>
    <w:rsid w:val="00895121"/>
    <w:rsid w:val="00895BF2"/>
    <w:rsid w:val="008972DE"/>
    <w:rsid w:val="008A45DD"/>
    <w:rsid w:val="008A5B31"/>
    <w:rsid w:val="008A63B9"/>
    <w:rsid w:val="008B1A8F"/>
    <w:rsid w:val="008B625A"/>
    <w:rsid w:val="008B6717"/>
    <w:rsid w:val="008C0D7F"/>
    <w:rsid w:val="008C0D83"/>
    <w:rsid w:val="008C4969"/>
    <w:rsid w:val="008C55DA"/>
    <w:rsid w:val="008C6005"/>
    <w:rsid w:val="008C750E"/>
    <w:rsid w:val="008D0FEF"/>
    <w:rsid w:val="008D2471"/>
    <w:rsid w:val="008D4FD0"/>
    <w:rsid w:val="008D6053"/>
    <w:rsid w:val="008E5CAC"/>
    <w:rsid w:val="008E6F38"/>
    <w:rsid w:val="008F0E46"/>
    <w:rsid w:val="008F2750"/>
    <w:rsid w:val="008F323B"/>
    <w:rsid w:val="008F561E"/>
    <w:rsid w:val="008F5DF9"/>
    <w:rsid w:val="008F72B4"/>
    <w:rsid w:val="008F72F5"/>
    <w:rsid w:val="008F7ACE"/>
    <w:rsid w:val="00900F24"/>
    <w:rsid w:val="00904D95"/>
    <w:rsid w:val="009104E8"/>
    <w:rsid w:val="0091318D"/>
    <w:rsid w:val="00915D81"/>
    <w:rsid w:val="009169D6"/>
    <w:rsid w:val="00916CA9"/>
    <w:rsid w:val="00917FC7"/>
    <w:rsid w:val="00920163"/>
    <w:rsid w:val="009234C8"/>
    <w:rsid w:val="009235F1"/>
    <w:rsid w:val="00923B45"/>
    <w:rsid w:val="00927BD4"/>
    <w:rsid w:val="0093074F"/>
    <w:rsid w:val="009413E2"/>
    <w:rsid w:val="009429F9"/>
    <w:rsid w:val="00944A3F"/>
    <w:rsid w:val="00950006"/>
    <w:rsid w:val="00950ACC"/>
    <w:rsid w:val="009514D5"/>
    <w:rsid w:val="00951795"/>
    <w:rsid w:val="00953B2B"/>
    <w:rsid w:val="00954717"/>
    <w:rsid w:val="0095474E"/>
    <w:rsid w:val="009576B6"/>
    <w:rsid w:val="00962FEA"/>
    <w:rsid w:val="00963055"/>
    <w:rsid w:val="00963B4B"/>
    <w:rsid w:val="00965B68"/>
    <w:rsid w:val="00967B2C"/>
    <w:rsid w:val="00972352"/>
    <w:rsid w:val="0097249B"/>
    <w:rsid w:val="009759EC"/>
    <w:rsid w:val="009764EF"/>
    <w:rsid w:val="0097735D"/>
    <w:rsid w:val="00985A5C"/>
    <w:rsid w:val="00991FA8"/>
    <w:rsid w:val="0099265A"/>
    <w:rsid w:val="009954C0"/>
    <w:rsid w:val="009A1CBE"/>
    <w:rsid w:val="009A425D"/>
    <w:rsid w:val="009A4654"/>
    <w:rsid w:val="009A4871"/>
    <w:rsid w:val="009A48A8"/>
    <w:rsid w:val="009A59C3"/>
    <w:rsid w:val="009A5DFA"/>
    <w:rsid w:val="009B0334"/>
    <w:rsid w:val="009B1FAC"/>
    <w:rsid w:val="009B334D"/>
    <w:rsid w:val="009B6ADB"/>
    <w:rsid w:val="009C004B"/>
    <w:rsid w:val="009C02A3"/>
    <w:rsid w:val="009C7043"/>
    <w:rsid w:val="009D2D74"/>
    <w:rsid w:val="009D4F30"/>
    <w:rsid w:val="009D59F6"/>
    <w:rsid w:val="009D7E2D"/>
    <w:rsid w:val="009D7F6A"/>
    <w:rsid w:val="009E1E34"/>
    <w:rsid w:val="009E26C8"/>
    <w:rsid w:val="009E3013"/>
    <w:rsid w:val="009E364D"/>
    <w:rsid w:val="009E3EE9"/>
    <w:rsid w:val="009E4A7E"/>
    <w:rsid w:val="009F1392"/>
    <w:rsid w:val="009F300A"/>
    <w:rsid w:val="009F6405"/>
    <w:rsid w:val="00A10C8A"/>
    <w:rsid w:val="00A12A5E"/>
    <w:rsid w:val="00A167B6"/>
    <w:rsid w:val="00A17611"/>
    <w:rsid w:val="00A20368"/>
    <w:rsid w:val="00A2046A"/>
    <w:rsid w:val="00A21EAD"/>
    <w:rsid w:val="00A220ED"/>
    <w:rsid w:val="00A254A4"/>
    <w:rsid w:val="00A3104F"/>
    <w:rsid w:val="00A32449"/>
    <w:rsid w:val="00A33FE8"/>
    <w:rsid w:val="00A34F2E"/>
    <w:rsid w:val="00A37414"/>
    <w:rsid w:val="00A37CFF"/>
    <w:rsid w:val="00A40C57"/>
    <w:rsid w:val="00A40FD1"/>
    <w:rsid w:val="00A41E91"/>
    <w:rsid w:val="00A42E27"/>
    <w:rsid w:val="00A444BB"/>
    <w:rsid w:val="00A457EB"/>
    <w:rsid w:val="00A46FDD"/>
    <w:rsid w:val="00A52519"/>
    <w:rsid w:val="00A52996"/>
    <w:rsid w:val="00A53353"/>
    <w:rsid w:val="00A53694"/>
    <w:rsid w:val="00A542FE"/>
    <w:rsid w:val="00A553BE"/>
    <w:rsid w:val="00A65419"/>
    <w:rsid w:val="00A6654A"/>
    <w:rsid w:val="00A665F4"/>
    <w:rsid w:val="00A70160"/>
    <w:rsid w:val="00A702FD"/>
    <w:rsid w:val="00A7107C"/>
    <w:rsid w:val="00A722B7"/>
    <w:rsid w:val="00A73DC7"/>
    <w:rsid w:val="00A74A10"/>
    <w:rsid w:val="00A7555E"/>
    <w:rsid w:val="00A77558"/>
    <w:rsid w:val="00A77C73"/>
    <w:rsid w:val="00A802B6"/>
    <w:rsid w:val="00A802DB"/>
    <w:rsid w:val="00A81534"/>
    <w:rsid w:val="00A82551"/>
    <w:rsid w:val="00A8335D"/>
    <w:rsid w:val="00A8353E"/>
    <w:rsid w:val="00A83A47"/>
    <w:rsid w:val="00A852FF"/>
    <w:rsid w:val="00A865E0"/>
    <w:rsid w:val="00A91D7D"/>
    <w:rsid w:val="00A91F64"/>
    <w:rsid w:val="00A92A31"/>
    <w:rsid w:val="00A96284"/>
    <w:rsid w:val="00A964EA"/>
    <w:rsid w:val="00AA4B60"/>
    <w:rsid w:val="00AB142D"/>
    <w:rsid w:val="00AB1E23"/>
    <w:rsid w:val="00AB27F4"/>
    <w:rsid w:val="00AB2FDB"/>
    <w:rsid w:val="00AB3682"/>
    <w:rsid w:val="00AC0478"/>
    <w:rsid w:val="00AC444D"/>
    <w:rsid w:val="00AD1636"/>
    <w:rsid w:val="00AD20F8"/>
    <w:rsid w:val="00AD2C1D"/>
    <w:rsid w:val="00AD2F4C"/>
    <w:rsid w:val="00AD4621"/>
    <w:rsid w:val="00AD5292"/>
    <w:rsid w:val="00AD54F2"/>
    <w:rsid w:val="00AD662B"/>
    <w:rsid w:val="00AE13CF"/>
    <w:rsid w:val="00AE203B"/>
    <w:rsid w:val="00AE22AA"/>
    <w:rsid w:val="00AE3E75"/>
    <w:rsid w:val="00AE4FC2"/>
    <w:rsid w:val="00AE7382"/>
    <w:rsid w:val="00AE753E"/>
    <w:rsid w:val="00AF55A9"/>
    <w:rsid w:val="00AF7197"/>
    <w:rsid w:val="00AF7757"/>
    <w:rsid w:val="00B01D09"/>
    <w:rsid w:val="00B01E4E"/>
    <w:rsid w:val="00B02D44"/>
    <w:rsid w:val="00B04868"/>
    <w:rsid w:val="00B0645F"/>
    <w:rsid w:val="00B118DA"/>
    <w:rsid w:val="00B122E8"/>
    <w:rsid w:val="00B13772"/>
    <w:rsid w:val="00B13B15"/>
    <w:rsid w:val="00B16D67"/>
    <w:rsid w:val="00B21787"/>
    <w:rsid w:val="00B24F09"/>
    <w:rsid w:val="00B25FBC"/>
    <w:rsid w:val="00B26BDC"/>
    <w:rsid w:val="00B271B4"/>
    <w:rsid w:val="00B27504"/>
    <w:rsid w:val="00B315A0"/>
    <w:rsid w:val="00B31C8D"/>
    <w:rsid w:val="00B32EFD"/>
    <w:rsid w:val="00B348A9"/>
    <w:rsid w:val="00B34A4D"/>
    <w:rsid w:val="00B35F0C"/>
    <w:rsid w:val="00B36607"/>
    <w:rsid w:val="00B4050E"/>
    <w:rsid w:val="00B43123"/>
    <w:rsid w:val="00B442D2"/>
    <w:rsid w:val="00B45E79"/>
    <w:rsid w:val="00B4722B"/>
    <w:rsid w:val="00B50E8B"/>
    <w:rsid w:val="00B512C4"/>
    <w:rsid w:val="00B51C96"/>
    <w:rsid w:val="00B523C1"/>
    <w:rsid w:val="00B53B17"/>
    <w:rsid w:val="00B56B50"/>
    <w:rsid w:val="00B608B6"/>
    <w:rsid w:val="00B6266D"/>
    <w:rsid w:val="00B648E3"/>
    <w:rsid w:val="00B669E9"/>
    <w:rsid w:val="00B720C5"/>
    <w:rsid w:val="00B7230B"/>
    <w:rsid w:val="00B7270B"/>
    <w:rsid w:val="00B746A7"/>
    <w:rsid w:val="00B7473B"/>
    <w:rsid w:val="00B74A19"/>
    <w:rsid w:val="00B766D7"/>
    <w:rsid w:val="00B767B6"/>
    <w:rsid w:val="00B80524"/>
    <w:rsid w:val="00B86608"/>
    <w:rsid w:val="00B934E8"/>
    <w:rsid w:val="00B955F0"/>
    <w:rsid w:val="00B95665"/>
    <w:rsid w:val="00B9698B"/>
    <w:rsid w:val="00BA2765"/>
    <w:rsid w:val="00BA3FD1"/>
    <w:rsid w:val="00BB34EA"/>
    <w:rsid w:val="00BB5E94"/>
    <w:rsid w:val="00BB6A7D"/>
    <w:rsid w:val="00BB77AC"/>
    <w:rsid w:val="00BB7E8F"/>
    <w:rsid w:val="00BC04F3"/>
    <w:rsid w:val="00BC1551"/>
    <w:rsid w:val="00BC4F2A"/>
    <w:rsid w:val="00BC60FD"/>
    <w:rsid w:val="00BD5F6E"/>
    <w:rsid w:val="00BD7841"/>
    <w:rsid w:val="00BE0158"/>
    <w:rsid w:val="00BE0C43"/>
    <w:rsid w:val="00BE52DB"/>
    <w:rsid w:val="00BE5AF1"/>
    <w:rsid w:val="00BE5BD3"/>
    <w:rsid w:val="00BE6E31"/>
    <w:rsid w:val="00BF0F7E"/>
    <w:rsid w:val="00BF14A0"/>
    <w:rsid w:val="00BF2C39"/>
    <w:rsid w:val="00BF3A14"/>
    <w:rsid w:val="00BF406D"/>
    <w:rsid w:val="00C00801"/>
    <w:rsid w:val="00C03470"/>
    <w:rsid w:val="00C043A6"/>
    <w:rsid w:val="00C04B56"/>
    <w:rsid w:val="00C04CF9"/>
    <w:rsid w:val="00C04EB7"/>
    <w:rsid w:val="00C06E64"/>
    <w:rsid w:val="00C06F37"/>
    <w:rsid w:val="00C07E36"/>
    <w:rsid w:val="00C121FD"/>
    <w:rsid w:val="00C17071"/>
    <w:rsid w:val="00C21741"/>
    <w:rsid w:val="00C21E22"/>
    <w:rsid w:val="00C23274"/>
    <w:rsid w:val="00C241F6"/>
    <w:rsid w:val="00C24204"/>
    <w:rsid w:val="00C2481E"/>
    <w:rsid w:val="00C256A9"/>
    <w:rsid w:val="00C30948"/>
    <w:rsid w:val="00C32048"/>
    <w:rsid w:val="00C33485"/>
    <w:rsid w:val="00C34D7D"/>
    <w:rsid w:val="00C4163B"/>
    <w:rsid w:val="00C41C39"/>
    <w:rsid w:val="00C41C97"/>
    <w:rsid w:val="00C439CE"/>
    <w:rsid w:val="00C45062"/>
    <w:rsid w:val="00C45200"/>
    <w:rsid w:val="00C47338"/>
    <w:rsid w:val="00C509B3"/>
    <w:rsid w:val="00C51D34"/>
    <w:rsid w:val="00C51D8C"/>
    <w:rsid w:val="00C53450"/>
    <w:rsid w:val="00C5411A"/>
    <w:rsid w:val="00C544E3"/>
    <w:rsid w:val="00C54755"/>
    <w:rsid w:val="00C561F2"/>
    <w:rsid w:val="00C56A6E"/>
    <w:rsid w:val="00C56CC0"/>
    <w:rsid w:val="00C571BB"/>
    <w:rsid w:val="00C573F0"/>
    <w:rsid w:val="00C57E17"/>
    <w:rsid w:val="00C60AE7"/>
    <w:rsid w:val="00C617EB"/>
    <w:rsid w:val="00C63732"/>
    <w:rsid w:val="00C6466D"/>
    <w:rsid w:val="00C64C2E"/>
    <w:rsid w:val="00C67CC5"/>
    <w:rsid w:val="00C7419B"/>
    <w:rsid w:val="00C77CF8"/>
    <w:rsid w:val="00C81BD4"/>
    <w:rsid w:val="00C82254"/>
    <w:rsid w:val="00C82A7E"/>
    <w:rsid w:val="00C85394"/>
    <w:rsid w:val="00C86DAF"/>
    <w:rsid w:val="00C91321"/>
    <w:rsid w:val="00C95DEC"/>
    <w:rsid w:val="00C95FE3"/>
    <w:rsid w:val="00C96AB2"/>
    <w:rsid w:val="00CA0222"/>
    <w:rsid w:val="00CA28AD"/>
    <w:rsid w:val="00CA4429"/>
    <w:rsid w:val="00CA5E9A"/>
    <w:rsid w:val="00CA6069"/>
    <w:rsid w:val="00CA73CE"/>
    <w:rsid w:val="00CB1EB1"/>
    <w:rsid w:val="00CB1EE7"/>
    <w:rsid w:val="00CB27BF"/>
    <w:rsid w:val="00CB2C6B"/>
    <w:rsid w:val="00CB2F88"/>
    <w:rsid w:val="00CB4F5B"/>
    <w:rsid w:val="00CB7665"/>
    <w:rsid w:val="00CC044C"/>
    <w:rsid w:val="00CC43F1"/>
    <w:rsid w:val="00CC53A1"/>
    <w:rsid w:val="00CC6534"/>
    <w:rsid w:val="00CD0D26"/>
    <w:rsid w:val="00CD2279"/>
    <w:rsid w:val="00CE1125"/>
    <w:rsid w:val="00CE1961"/>
    <w:rsid w:val="00CE2396"/>
    <w:rsid w:val="00CE3C6F"/>
    <w:rsid w:val="00CE4CCA"/>
    <w:rsid w:val="00CE58D0"/>
    <w:rsid w:val="00CE5EA5"/>
    <w:rsid w:val="00CE5F50"/>
    <w:rsid w:val="00CE61BF"/>
    <w:rsid w:val="00CF0F31"/>
    <w:rsid w:val="00CF2A12"/>
    <w:rsid w:val="00CF37C3"/>
    <w:rsid w:val="00D007B9"/>
    <w:rsid w:val="00D01BB8"/>
    <w:rsid w:val="00D03B12"/>
    <w:rsid w:val="00D048DA"/>
    <w:rsid w:val="00D057DD"/>
    <w:rsid w:val="00D05F3B"/>
    <w:rsid w:val="00D0652F"/>
    <w:rsid w:val="00D13403"/>
    <w:rsid w:val="00D13521"/>
    <w:rsid w:val="00D1408F"/>
    <w:rsid w:val="00D15B49"/>
    <w:rsid w:val="00D16534"/>
    <w:rsid w:val="00D20B7A"/>
    <w:rsid w:val="00D20EB6"/>
    <w:rsid w:val="00D21E0D"/>
    <w:rsid w:val="00D22FAE"/>
    <w:rsid w:val="00D245F7"/>
    <w:rsid w:val="00D24A93"/>
    <w:rsid w:val="00D263FE"/>
    <w:rsid w:val="00D3150E"/>
    <w:rsid w:val="00D33441"/>
    <w:rsid w:val="00D3548A"/>
    <w:rsid w:val="00D43C2A"/>
    <w:rsid w:val="00D43D45"/>
    <w:rsid w:val="00D451DD"/>
    <w:rsid w:val="00D45B26"/>
    <w:rsid w:val="00D521E2"/>
    <w:rsid w:val="00D52604"/>
    <w:rsid w:val="00D5331B"/>
    <w:rsid w:val="00D53BCC"/>
    <w:rsid w:val="00D56369"/>
    <w:rsid w:val="00D570BD"/>
    <w:rsid w:val="00D57FF8"/>
    <w:rsid w:val="00D61A62"/>
    <w:rsid w:val="00D65D37"/>
    <w:rsid w:val="00D734CA"/>
    <w:rsid w:val="00D73F85"/>
    <w:rsid w:val="00D7506C"/>
    <w:rsid w:val="00D750B2"/>
    <w:rsid w:val="00D7519F"/>
    <w:rsid w:val="00D75572"/>
    <w:rsid w:val="00D7616D"/>
    <w:rsid w:val="00D76208"/>
    <w:rsid w:val="00D80983"/>
    <w:rsid w:val="00D817AA"/>
    <w:rsid w:val="00D84FE5"/>
    <w:rsid w:val="00D86D62"/>
    <w:rsid w:val="00D9395A"/>
    <w:rsid w:val="00D943A6"/>
    <w:rsid w:val="00D94F9D"/>
    <w:rsid w:val="00D95CEA"/>
    <w:rsid w:val="00D970FE"/>
    <w:rsid w:val="00D971A8"/>
    <w:rsid w:val="00D97F48"/>
    <w:rsid w:val="00DA1A3D"/>
    <w:rsid w:val="00DB22D5"/>
    <w:rsid w:val="00DB26AA"/>
    <w:rsid w:val="00DB376A"/>
    <w:rsid w:val="00DB4EE9"/>
    <w:rsid w:val="00DB5F57"/>
    <w:rsid w:val="00DB7D47"/>
    <w:rsid w:val="00DC0109"/>
    <w:rsid w:val="00DC0BF6"/>
    <w:rsid w:val="00DC1DCF"/>
    <w:rsid w:val="00DC2408"/>
    <w:rsid w:val="00DC34BF"/>
    <w:rsid w:val="00DC3799"/>
    <w:rsid w:val="00DC5280"/>
    <w:rsid w:val="00DD073A"/>
    <w:rsid w:val="00DD2B77"/>
    <w:rsid w:val="00DD3CE4"/>
    <w:rsid w:val="00DD41EF"/>
    <w:rsid w:val="00DD6336"/>
    <w:rsid w:val="00DD688D"/>
    <w:rsid w:val="00DD7250"/>
    <w:rsid w:val="00DE0D19"/>
    <w:rsid w:val="00DE591C"/>
    <w:rsid w:val="00DE5C9A"/>
    <w:rsid w:val="00DE6322"/>
    <w:rsid w:val="00DF05F7"/>
    <w:rsid w:val="00DF16FA"/>
    <w:rsid w:val="00DF3E4C"/>
    <w:rsid w:val="00DF484F"/>
    <w:rsid w:val="00E025AF"/>
    <w:rsid w:val="00E02E79"/>
    <w:rsid w:val="00E037BC"/>
    <w:rsid w:val="00E040BB"/>
    <w:rsid w:val="00E0603D"/>
    <w:rsid w:val="00E15817"/>
    <w:rsid w:val="00E15A45"/>
    <w:rsid w:val="00E22664"/>
    <w:rsid w:val="00E231AE"/>
    <w:rsid w:val="00E2562D"/>
    <w:rsid w:val="00E30617"/>
    <w:rsid w:val="00E307D1"/>
    <w:rsid w:val="00E36C14"/>
    <w:rsid w:val="00E403B7"/>
    <w:rsid w:val="00E40F37"/>
    <w:rsid w:val="00E4194D"/>
    <w:rsid w:val="00E47F45"/>
    <w:rsid w:val="00E50380"/>
    <w:rsid w:val="00E50D26"/>
    <w:rsid w:val="00E56527"/>
    <w:rsid w:val="00E6383B"/>
    <w:rsid w:val="00E650F5"/>
    <w:rsid w:val="00E65105"/>
    <w:rsid w:val="00E65AC7"/>
    <w:rsid w:val="00E66596"/>
    <w:rsid w:val="00E70106"/>
    <w:rsid w:val="00E73554"/>
    <w:rsid w:val="00E73E75"/>
    <w:rsid w:val="00E74958"/>
    <w:rsid w:val="00E75026"/>
    <w:rsid w:val="00E7717C"/>
    <w:rsid w:val="00E771C0"/>
    <w:rsid w:val="00E773B1"/>
    <w:rsid w:val="00E812E6"/>
    <w:rsid w:val="00E82197"/>
    <w:rsid w:val="00E82DAD"/>
    <w:rsid w:val="00E83166"/>
    <w:rsid w:val="00E835FF"/>
    <w:rsid w:val="00E94393"/>
    <w:rsid w:val="00E947A8"/>
    <w:rsid w:val="00E948FD"/>
    <w:rsid w:val="00E97E2C"/>
    <w:rsid w:val="00EA0CAD"/>
    <w:rsid w:val="00EA0E5E"/>
    <w:rsid w:val="00EA2F3A"/>
    <w:rsid w:val="00EA3733"/>
    <w:rsid w:val="00EA41D2"/>
    <w:rsid w:val="00EA6C6C"/>
    <w:rsid w:val="00EB1F44"/>
    <w:rsid w:val="00EB2373"/>
    <w:rsid w:val="00EB75F6"/>
    <w:rsid w:val="00EC1D56"/>
    <w:rsid w:val="00EC20C6"/>
    <w:rsid w:val="00EC2B4D"/>
    <w:rsid w:val="00EC3EFF"/>
    <w:rsid w:val="00EC41DC"/>
    <w:rsid w:val="00EC4F0A"/>
    <w:rsid w:val="00EC7123"/>
    <w:rsid w:val="00ED0E5E"/>
    <w:rsid w:val="00ED50B5"/>
    <w:rsid w:val="00ED5739"/>
    <w:rsid w:val="00ED6050"/>
    <w:rsid w:val="00ED7663"/>
    <w:rsid w:val="00EE00D7"/>
    <w:rsid w:val="00EE16C0"/>
    <w:rsid w:val="00EE31E6"/>
    <w:rsid w:val="00EE6DF6"/>
    <w:rsid w:val="00EE72C6"/>
    <w:rsid w:val="00EF100F"/>
    <w:rsid w:val="00EF2C8A"/>
    <w:rsid w:val="00EF327B"/>
    <w:rsid w:val="00EF4061"/>
    <w:rsid w:val="00EF6468"/>
    <w:rsid w:val="00EF6EAD"/>
    <w:rsid w:val="00F02837"/>
    <w:rsid w:val="00F10F7B"/>
    <w:rsid w:val="00F13C55"/>
    <w:rsid w:val="00F14E2B"/>
    <w:rsid w:val="00F16C26"/>
    <w:rsid w:val="00F2016E"/>
    <w:rsid w:val="00F20A78"/>
    <w:rsid w:val="00F210D5"/>
    <w:rsid w:val="00F213ED"/>
    <w:rsid w:val="00F2543A"/>
    <w:rsid w:val="00F27D8E"/>
    <w:rsid w:val="00F3050A"/>
    <w:rsid w:val="00F30997"/>
    <w:rsid w:val="00F3137A"/>
    <w:rsid w:val="00F32296"/>
    <w:rsid w:val="00F3263C"/>
    <w:rsid w:val="00F33B7C"/>
    <w:rsid w:val="00F33F44"/>
    <w:rsid w:val="00F34681"/>
    <w:rsid w:val="00F34A64"/>
    <w:rsid w:val="00F36819"/>
    <w:rsid w:val="00F37A62"/>
    <w:rsid w:val="00F4093D"/>
    <w:rsid w:val="00F40EC9"/>
    <w:rsid w:val="00F4158F"/>
    <w:rsid w:val="00F4186C"/>
    <w:rsid w:val="00F42ED0"/>
    <w:rsid w:val="00F43663"/>
    <w:rsid w:val="00F50503"/>
    <w:rsid w:val="00F516D3"/>
    <w:rsid w:val="00F52DF5"/>
    <w:rsid w:val="00F55C73"/>
    <w:rsid w:val="00F61DB2"/>
    <w:rsid w:val="00F6528E"/>
    <w:rsid w:val="00F6642A"/>
    <w:rsid w:val="00F66D32"/>
    <w:rsid w:val="00F66FAA"/>
    <w:rsid w:val="00F67F3C"/>
    <w:rsid w:val="00F704B4"/>
    <w:rsid w:val="00F717C1"/>
    <w:rsid w:val="00F72267"/>
    <w:rsid w:val="00F75AFF"/>
    <w:rsid w:val="00F75FA5"/>
    <w:rsid w:val="00F76843"/>
    <w:rsid w:val="00F77149"/>
    <w:rsid w:val="00F7784D"/>
    <w:rsid w:val="00F82411"/>
    <w:rsid w:val="00F851AA"/>
    <w:rsid w:val="00F85D0A"/>
    <w:rsid w:val="00F87F7D"/>
    <w:rsid w:val="00F9005F"/>
    <w:rsid w:val="00F936F2"/>
    <w:rsid w:val="00F942CD"/>
    <w:rsid w:val="00FA1BA2"/>
    <w:rsid w:val="00FA1BD7"/>
    <w:rsid w:val="00FA1FAD"/>
    <w:rsid w:val="00FA24E0"/>
    <w:rsid w:val="00FA2621"/>
    <w:rsid w:val="00FA2894"/>
    <w:rsid w:val="00FA451D"/>
    <w:rsid w:val="00FA6A06"/>
    <w:rsid w:val="00FB12F4"/>
    <w:rsid w:val="00FB222B"/>
    <w:rsid w:val="00FB2591"/>
    <w:rsid w:val="00FB3580"/>
    <w:rsid w:val="00FB35B2"/>
    <w:rsid w:val="00FB3690"/>
    <w:rsid w:val="00FB52AD"/>
    <w:rsid w:val="00FC0EDD"/>
    <w:rsid w:val="00FC1272"/>
    <w:rsid w:val="00FC330E"/>
    <w:rsid w:val="00FC3ABA"/>
    <w:rsid w:val="00FC3D29"/>
    <w:rsid w:val="00FC4E69"/>
    <w:rsid w:val="00FC501E"/>
    <w:rsid w:val="00FC5EDA"/>
    <w:rsid w:val="00FC7262"/>
    <w:rsid w:val="00FC79F1"/>
    <w:rsid w:val="00FD166A"/>
    <w:rsid w:val="00FD1F31"/>
    <w:rsid w:val="00FD2014"/>
    <w:rsid w:val="00FD299B"/>
    <w:rsid w:val="00FD6DB9"/>
    <w:rsid w:val="00FD7162"/>
    <w:rsid w:val="00FE3166"/>
    <w:rsid w:val="00FE5B0F"/>
    <w:rsid w:val="00FE646D"/>
    <w:rsid w:val="00FF040D"/>
    <w:rsid w:val="00FF2F38"/>
    <w:rsid w:val="00FF623B"/>
    <w:rsid w:val="05920212"/>
    <w:rsid w:val="059A621D"/>
    <w:rsid w:val="05CD7B6D"/>
    <w:rsid w:val="075F7952"/>
    <w:rsid w:val="0A300391"/>
    <w:rsid w:val="0B8711BE"/>
    <w:rsid w:val="0CBA153B"/>
    <w:rsid w:val="0CCF0440"/>
    <w:rsid w:val="0E4A3577"/>
    <w:rsid w:val="0FA14C69"/>
    <w:rsid w:val="12A11245"/>
    <w:rsid w:val="1F754B76"/>
    <w:rsid w:val="234C3D5A"/>
    <w:rsid w:val="25676D65"/>
    <w:rsid w:val="26D7459A"/>
    <w:rsid w:val="27F63669"/>
    <w:rsid w:val="2DE95F91"/>
    <w:rsid w:val="31C654A3"/>
    <w:rsid w:val="31E9443D"/>
    <w:rsid w:val="3226456B"/>
    <w:rsid w:val="32495241"/>
    <w:rsid w:val="339E7223"/>
    <w:rsid w:val="36447080"/>
    <w:rsid w:val="37F86C2B"/>
    <w:rsid w:val="3BE76F61"/>
    <w:rsid w:val="3C801963"/>
    <w:rsid w:val="3DC55637"/>
    <w:rsid w:val="436D616E"/>
    <w:rsid w:val="43971D5D"/>
    <w:rsid w:val="49A71E91"/>
    <w:rsid w:val="4AA71446"/>
    <w:rsid w:val="4B296489"/>
    <w:rsid w:val="4EAA0155"/>
    <w:rsid w:val="51975875"/>
    <w:rsid w:val="54786C1A"/>
    <w:rsid w:val="593050A2"/>
    <w:rsid w:val="5D212E75"/>
    <w:rsid w:val="5F3871F4"/>
    <w:rsid w:val="600E1D7E"/>
    <w:rsid w:val="608E4A5F"/>
    <w:rsid w:val="61081F4F"/>
    <w:rsid w:val="638E6630"/>
    <w:rsid w:val="69022842"/>
    <w:rsid w:val="69AD26E4"/>
    <w:rsid w:val="70AE0119"/>
    <w:rsid w:val="7737625A"/>
    <w:rsid w:val="77D1453E"/>
    <w:rsid w:val="7E096958"/>
    <w:rsid w:val="7EEF41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99"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nhideWhenUsed="0" w:uiPriority="35" w:semiHidden="0" w:name="caption"/>
    <w:lsdException w:qFormat="1" w:unhideWhenUsed="0" w:uiPriority="0" w:semiHidden="0" w:name="table of figures"/>
    <w:lsdException w:qFormat="1" w:uiPriority="0" w:name="envelope address"/>
    <w:lsdException w:qFormat="1" w:uiPriority="0" w:name="envelope return"/>
    <w:lsdException w:qFormat="1" w:unhideWhenUsed="0"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qFormat="1" w:unhideWhenUsed="0" w:uiPriority="0" w:semiHidden="0"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iPriority="0" w:name="Closing"/>
    <w:lsdException w:qFormat="1"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iPriority="0" w:name="List Continue 3"/>
    <w:lsdException w:qFormat="1" w:uiPriority="0" w:name="List Continue 4"/>
    <w:lsdException w:qFormat="1" w:unhideWhenUsed="0" w:uiPriority="0" w:semiHidden="0" w:name="List Continue 5"/>
    <w:lsdException w:qFormat="1"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99" w:name="HTML Acronym"/>
    <w:lsdException w:qFormat="1" w:unhideWhenUsed="0" w:uiPriority="99" w:semiHidden="0" w:name="HTML Address"/>
    <w:lsdException w:uiPriority="99" w:name="HTML Cite"/>
    <w:lsdException w:qFormat="1" w:unhideWhenUsed="0" w:uiPriority="0" w:semiHidden="0" w:name="HTML Code"/>
    <w:lsdException w:uiPriority="99" w:name="HTML Definition"/>
    <w:lsdException w:qFormat="1" w:uiPriority="0" w:name="HTML Keyboard"/>
    <w:lsdException w:qFormat="1" w:uiPriority="99" w:semiHidden="0" w:name="HTML Preformatted"/>
    <w:lsdException w:qFormat="1" w:uiPriority="0" w:name="HTML Sample"/>
    <w:lsdException w:qFormat="1" w:uiPriority="0" w:name="HTML Typewriter"/>
    <w:lsdException w:uiPriority="99" w:name="HTML Variable"/>
    <w:lsdException w:qFormat="1" w:uiPriority="99" w:name="Normal Table"/>
    <w:lsdException w:qFormat="1" w:unhideWhenUsed="0" w:uiPriority="99" w:semiHidden="0" w:name="annotation subject"/>
    <w:lsdException w:qFormat="1" w:uiPriority="0" w:name="Table Simple 1"/>
    <w:lsdException w:qFormat="1" w:uiPriority="0" w:name="Table Simple 2"/>
    <w:lsdException w:qFormat="1" w:uiPriority="0" w:name="Table Simple 3"/>
    <w:lsdException w:qFormat="1" w:unhideWhenUsed="0" w:uiPriority="0" w:semiHidden="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name="Table Elegant"/>
    <w:lsdException w:qFormat="1" w:uiPriority="0" w:name="Table Professional"/>
    <w:lsdException w:qFormat="1" w:uiPriority="0" w:name="Table Subtle 1"/>
    <w:lsdException w:qFormat="1" w:uiPriority="0" w:name="Table Subtle 2"/>
    <w:lsdException w:qFormat="1" w:uiPriority="0" w:name="Table Web 1"/>
    <w:lsdException w:qFormat="1" w:uiPriority="0" w:name="Table Web 2"/>
    <w:lsdException w:qFormat="1" w:uiPriority="0" w:name="Table Web 3"/>
    <w:lsdException w:qFormat="1" w:unhideWhenUsed="0" w:uiPriority="99" w:semiHidden="0" w:name="Balloon Text"/>
    <w:lsdException w:qFormat="1" w:unhideWhenUsed="0" w:uiPriority="39" w:semiHidden="0" w:name="Table Grid"/>
    <w:lsdException w:qFormat="1"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145"/>
    <w:qFormat/>
    <w:uiPriority w:val="0"/>
    <w:pPr>
      <w:keepNext/>
      <w:jc w:val="center"/>
      <w:outlineLvl w:val="0"/>
    </w:pPr>
  </w:style>
  <w:style w:type="paragraph" w:styleId="6">
    <w:name w:val="heading 2"/>
    <w:basedOn w:val="1"/>
    <w:next w:val="7"/>
    <w:link w:val="147"/>
    <w:qFormat/>
    <w:uiPriority w:val="0"/>
    <w:pPr>
      <w:keepNext/>
      <w:jc w:val="center"/>
      <w:outlineLvl w:val="1"/>
    </w:pPr>
    <w:rPr>
      <w:sz w:val="24"/>
    </w:rPr>
  </w:style>
  <w:style w:type="paragraph" w:styleId="8">
    <w:name w:val="heading 3"/>
    <w:basedOn w:val="1"/>
    <w:next w:val="1"/>
    <w:link w:val="148"/>
    <w:qFormat/>
    <w:uiPriority w:val="0"/>
    <w:pPr>
      <w:keepNext/>
      <w:keepLines/>
      <w:spacing w:before="260" w:after="260" w:line="416" w:lineRule="auto"/>
      <w:outlineLvl w:val="2"/>
    </w:pPr>
    <w:rPr>
      <w:b/>
      <w:bCs/>
      <w:sz w:val="32"/>
      <w:szCs w:val="32"/>
    </w:rPr>
  </w:style>
  <w:style w:type="paragraph" w:styleId="9">
    <w:name w:val="heading 4"/>
    <w:basedOn w:val="1"/>
    <w:next w:val="1"/>
    <w:link w:val="144"/>
    <w:qFormat/>
    <w:uiPriority w:val="0"/>
    <w:pPr>
      <w:keepNext/>
      <w:spacing w:line="326" w:lineRule="auto"/>
      <w:outlineLvl w:val="3"/>
    </w:pPr>
    <w:rPr>
      <w:b/>
      <w:color w:val="FF6600"/>
      <w:sz w:val="24"/>
      <w:szCs w:val="24"/>
    </w:rPr>
  </w:style>
  <w:style w:type="paragraph" w:styleId="10">
    <w:name w:val="heading 5"/>
    <w:basedOn w:val="1"/>
    <w:next w:val="1"/>
    <w:link w:val="149"/>
    <w:qFormat/>
    <w:uiPriority w:val="0"/>
    <w:pPr>
      <w:keepNext/>
      <w:keepLines/>
      <w:spacing w:before="280" w:after="290" w:line="376" w:lineRule="auto"/>
      <w:outlineLvl w:val="4"/>
    </w:pPr>
    <w:rPr>
      <w:b/>
      <w:bCs/>
      <w:sz w:val="28"/>
      <w:szCs w:val="28"/>
    </w:rPr>
  </w:style>
  <w:style w:type="paragraph" w:styleId="11">
    <w:name w:val="heading 6"/>
    <w:basedOn w:val="1"/>
    <w:next w:val="1"/>
    <w:link w:val="343"/>
    <w:qFormat/>
    <w:uiPriority w:val="0"/>
    <w:pPr>
      <w:keepNext/>
      <w:keepLines/>
      <w:tabs>
        <w:tab w:val="left" w:pos="1152"/>
      </w:tabs>
      <w:adjustRightInd w:val="0"/>
      <w:spacing w:before="240" w:after="64" w:line="320" w:lineRule="atLeast"/>
      <w:ind w:left="1152" w:hanging="1152"/>
      <w:textAlignment w:val="baseline"/>
      <w:outlineLvl w:val="5"/>
    </w:pPr>
    <w:rPr>
      <w:rFonts w:ascii="Arial" w:hAnsi="Arial" w:eastAsia="黑体"/>
      <w:b/>
      <w:kern w:val="0"/>
      <w:sz w:val="24"/>
    </w:rPr>
  </w:style>
  <w:style w:type="paragraph" w:styleId="12">
    <w:name w:val="heading 7"/>
    <w:basedOn w:val="1"/>
    <w:next w:val="1"/>
    <w:link w:val="344"/>
    <w:qFormat/>
    <w:uiPriority w:val="0"/>
    <w:pPr>
      <w:keepNext/>
      <w:keepLines/>
      <w:tabs>
        <w:tab w:val="left" w:pos="1296"/>
      </w:tabs>
      <w:adjustRightInd w:val="0"/>
      <w:spacing w:before="240" w:after="64" w:line="320" w:lineRule="atLeast"/>
      <w:ind w:left="1296" w:hanging="1296"/>
      <w:textAlignment w:val="baseline"/>
      <w:outlineLvl w:val="6"/>
    </w:pPr>
    <w:rPr>
      <w:rFonts w:eastAsia="仿宋_GB2312"/>
      <w:b/>
      <w:kern w:val="0"/>
      <w:sz w:val="24"/>
    </w:rPr>
  </w:style>
  <w:style w:type="paragraph" w:styleId="13">
    <w:name w:val="heading 8"/>
    <w:basedOn w:val="1"/>
    <w:next w:val="1"/>
    <w:link w:val="345"/>
    <w:qFormat/>
    <w:uiPriority w:val="0"/>
    <w:pPr>
      <w:keepNext/>
      <w:keepLines/>
      <w:tabs>
        <w:tab w:val="left" w:pos="1440"/>
      </w:tabs>
      <w:adjustRightInd w:val="0"/>
      <w:spacing w:before="240" w:after="64" w:line="320" w:lineRule="atLeast"/>
      <w:ind w:left="1440" w:hanging="1440"/>
      <w:textAlignment w:val="baseline"/>
      <w:outlineLvl w:val="7"/>
    </w:pPr>
    <w:rPr>
      <w:rFonts w:ascii="Arial" w:hAnsi="Arial" w:eastAsia="黑体"/>
      <w:kern w:val="0"/>
      <w:sz w:val="24"/>
    </w:rPr>
  </w:style>
  <w:style w:type="paragraph" w:styleId="14">
    <w:name w:val="heading 9"/>
    <w:basedOn w:val="1"/>
    <w:next w:val="1"/>
    <w:link w:val="346"/>
    <w:qFormat/>
    <w:uiPriority w:val="0"/>
    <w:pPr>
      <w:keepNext/>
      <w:keepLines/>
      <w:tabs>
        <w:tab w:val="left" w:pos="1584"/>
      </w:tabs>
      <w:adjustRightInd w:val="0"/>
      <w:spacing w:before="240" w:after="64" w:line="320" w:lineRule="atLeast"/>
      <w:ind w:left="1584" w:hanging="1584"/>
      <w:textAlignment w:val="baseline"/>
      <w:outlineLvl w:val="8"/>
    </w:pPr>
    <w:rPr>
      <w:rFonts w:ascii="Arial" w:hAnsi="Arial" w:eastAsia="黑体"/>
      <w:kern w:val="0"/>
      <w:sz w:val="24"/>
    </w:rPr>
  </w:style>
  <w:style w:type="character" w:default="1" w:styleId="131">
    <w:name w:val="Default Paragraph Font"/>
    <w:semiHidden/>
    <w:unhideWhenUsed/>
    <w:qFormat/>
    <w:uiPriority w:val="1"/>
  </w:style>
  <w:style w:type="table" w:default="1" w:styleId="8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369"/>
    <w:qFormat/>
    <w:uiPriority w:val="0"/>
    <w:pPr>
      <w:snapToGrid/>
      <w:spacing w:line="240" w:lineRule="auto"/>
      <w:ind w:left="420" w:leftChars="200" w:firstLine="200" w:firstLineChars="200"/>
    </w:pPr>
    <w:rPr>
      <w:rFonts w:ascii="Times New Roman" w:eastAsia="仿宋_GB2312"/>
      <w:color w:val="auto"/>
      <w:sz w:val="28"/>
      <w:szCs w:val="24"/>
    </w:rPr>
  </w:style>
  <w:style w:type="paragraph" w:styleId="3">
    <w:name w:val="Body Text Indent"/>
    <w:basedOn w:val="1"/>
    <w:link w:val="154"/>
    <w:qFormat/>
    <w:uiPriority w:val="0"/>
    <w:pPr>
      <w:snapToGrid w:val="0"/>
      <w:spacing w:line="360" w:lineRule="auto"/>
      <w:ind w:firstLine="540"/>
    </w:pPr>
    <w:rPr>
      <w:rFonts w:ascii="宋体"/>
      <w:color w:val="000000"/>
    </w:rPr>
  </w:style>
  <w:style w:type="paragraph" w:styleId="4">
    <w:name w:val="macro"/>
    <w:link w:val="61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bidi="ar-SA"/>
    </w:rPr>
  </w:style>
  <w:style w:type="paragraph" w:styleId="7">
    <w:name w:val="Normal Indent"/>
    <w:basedOn w:val="1"/>
    <w:link w:val="146"/>
    <w:qFormat/>
    <w:uiPriority w:val="0"/>
    <w:pPr>
      <w:ind w:firstLine="420"/>
    </w:pPr>
  </w:style>
  <w:style w:type="paragraph" w:styleId="15">
    <w:name w:val="List 3"/>
    <w:basedOn w:val="1"/>
    <w:qFormat/>
    <w:uiPriority w:val="0"/>
    <w:pPr>
      <w:adjustRightInd w:val="0"/>
      <w:spacing w:line="360" w:lineRule="atLeast"/>
      <w:ind w:left="100" w:leftChars="400" w:hanging="200" w:hangingChars="200"/>
      <w:jc w:val="left"/>
      <w:textAlignment w:val="baseline"/>
    </w:pPr>
    <w:rPr>
      <w:kern w:val="0"/>
      <w:sz w:val="24"/>
    </w:rPr>
  </w:style>
  <w:style w:type="paragraph" w:styleId="16">
    <w:name w:val="toc 7"/>
    <w:basedOn w:val="1"/>
    <w:next w:val="1"/>
    <w:qFormat/>
    <w:uiPriority w:val="39"/>
    <w:pPr>
      <w:adjustRightInd w:val="0"/>
      <w:snapToGrid w:val="0"/>
      <w:spacing w:line="360" w:lineRule="auto"/>
      <w:ind w:left="1440" w:firstLine="200" w:firstLineChars="200"/>
      <w:jc w:val="left"/>
    </w:pPr>
    <w:rPr>
      <w:rFonts w:eastAsia="仿宋_GB2312"/>
      <w:sz w:val="18"/>
      <w:szCs w:val="18"/>
    </w:rPr>
  </w:style>
  <w:style w:type="paragraph" w:styleId="17">
    <w:name w:val="List Number 2"/>
    <w:basedOn w:val="1"/>
    <w:qFormat/>
    <w:uiPriority w:val="0"/>
    <w:pPr>
      <w:numPr>
        <w:ilvl w:val="0"/>
        <w:numId w:val="1"/>
      </w:numPr>
    </w:pPr>
    <w:rPr>
      <w:szCs w:val="24"/>
    </w:rPr>
  </w:style>
  <w:style w:type="paragraph" w:styleId="18">
    <w:name w:val="Note Heading"/>
    <w:basedOn w:val="1"/>
    <w:next w:val="1"/>
    <w:link w:val="611"/>
    <w:qFormat/>
    <w:uiPriority w:val="0"/>
    <w:pPr>
      <w:jc w:val="center"/>
    </w:pPr>
    <w:rPr>
      <w:szCs w:val="24"/>
    </w:rPr>
  </w:style>
  <w:style w:type="paragraph" w:styleId="19">
    <w:name w:val="List Bullet 4"/>
    <w:basedOn w:val="1"/>
    <w:qFormat/>
    <w:uiPriority w:val="0"/>
    <w:pPr>
      <w:tabs>
        <w:tab w:val="left" w:pos="1620"/>
      </w:tabs>
      <w:spacing w:line="520" w:lineRule="exact"/>
      <w:ind w:left="1620" w:leftChars="600" w:hanging="360" w:hangingChars="200"/>
    </w:pPr>
    <w:rPr>
      <w:rFonts w:ascii="仿宋_GB2312" w:eastAsia="仿宋_GB2312"/>
      <w:sz w:val="28"/>
      <w:szCs w:val="28"/>
    </w:rPr>
  </w:style>
  <w:style w:type="paragraph" w:styleId="20">
    <w:name w:val="index 8"/>
    <w:basedOn w:val="1"/>
    <w:next w:val="1"/>
    <w:qFormat/>
    <w:uiPriority w:val="0"/>
    <w:pPr>
      <w:ind w:left="2940"/>
    </w:pPr>
  </w:style>
  <w:style w:type="paragraph" w:styleId="21">
    <w:name w:val="E-mail Signature"/>
    <w:basedOn w:val="1"/>
    <w:link w:val="498"/>
    <w:qFormat/>
    <w:uiPriority w:val="0"/>
    <w:rPr>
      <w:szCs w:val="24"/>
    </w:rPr>
  </w:style>
  <w:style w:type="paragraph" w:styleId="22">
    <w:name w:val="List Number"/>
    <w:basedOn w:val="1"/>
    <w:qFormat/>
    <w:uiPriority w:val="0"/>
    <w:pPr>
      <w:tabs>
        <w:tab w:val="left" w:pos="360"/>
      </w:tabs>
      <w:spacing w:line="520" w:lineRule="exact"/>
      <w:ind w:left="360" w:hanging="360" w:hangingChars="200"/>
    </w:pPr>
    <w:rPr>
      <w:rFonts w:ascii="仿宋_GB2312" w:eastAsia="仿宋_GB2312"/>
      <w:sz w:val="28"/>
      <w:szCs w:val="28"/>
    </w:rPr>
  </w:style>
  <w:style w:type="paragraph" w:styleId="23">
    <w:name w:val="caption"/>
    <w:basedOn w:val="1"/>
    <w:next w:val="1"/>
    <w:link w:val="340"/>
    <w:qFormat/>
    <w:uiPriority w:val="35"/>
    <w:pPr>
      <w:adjustRightInd w:val="0"/>
      <w:snapToGrid w:val="0"/>
      <w:spacing w:before="152" w:after="160"/>
      <w:ind w:firstLine="480" w:firstLineChars="200"/>
      <w:textAlignment w:val="baseline"/>
    </w:pPr>
    <w:rPr>
      <w:rFonts w:ascii="Arial" w:hAnsi="Arial" w:cs="Arial"/>
      <w:kern w:val="0"/>
      <w:sz w:val="24"/>
    </w:rPr>
  </w:style>
  <w:style w:type="paragraph" w:styleId="24">
    <w:name w:val="index 5"/>
    <w:basedOn w:val="1"/>
    <w:next w:val="1"/>
    <w:qFormat/>
    <w:uiPriority w:val="0"/>
    <w:pPr>
      <w:ind w:left="1680"/>
    </w:pPr>
  </w:style>
  <w:style w:type="paragraph" w:styleId="25">
    <w:name w:val="List Bullet"/>
    <w:basedOn w:val="1"/>
    <w:qFormat/>
    <w:uiPriority w:val="0"/>
    <w:pPr>
      <w:numPr>
        <w:ilvl w:val="0"/>
        <w:numId w:val="2"/>
      </w:numPr>
    </w:pPr>
    <w:rPr>
      <w:rFonts w:eastAsia="仿宋_GB2312"/>
      <w:sz w:val="28"/>
      <w:szCs w:val="24"/>
    </w:rPr>
  </w:style>
  <w:style w:type="paragraph" w:styleId="26">
    <w:name w:val="envelope address"/>
    <w:basedOn w:val="1"/>
    <w:semiHidden/>
    <w:unhideWhenUsed/>
    <w:qFormat/>
    <w:uiPriority w:val="0"/>
    <w:pPr>
      <w:framePr w:w="7920" w:h="1980" w:hSpace="180" w:wrap="around" w:vAnchor="margin" w:hAnchor="page" w:xAlign="center" w:yAlign="bottom"/>
      <w:snapToGrid w:val="0"/>
      <w:spacing w:line="520" w:lineRule="exact"/>
      <w:ind w:left="100" w:leftChars="1400" w:firstLine="200" w:firstLineChars="200"/>
    </w:pPr>
    <w:rPr>
      <w:rFonts w:ascii="Arial" w:hAnsi="Arial" w:eastAsia="仿宋_GB2312" w:cs="Arial"/>
      <w:sz w:val="24"/>
      <w:szCs w:val="24"/>
    </w:rPr>
  </w:style>
  <w:style w:type="paragraph" w:styleId="27">
    <w:name w:val="Document Map"/>
    <w:basedOn w:val="1"/>
    <w:link w:val="150"/>
    <w:qFormat/>
    <w:uiPriority w:val="99"/>
    <w:pPr>
      <w:shd w:val="clear" w:color="auto" w:fill="000080"/>
    </w:pPr>
  </w:style>
  <w:style w:type="paragraph" w:styleId="28">
    <w:name w:val="annotation text"/>
    <w:basedOn w:val="1"/>
    <w:link w:val="151"/>
    <w:qFormat/>
    <w:uiPriority w:val="99"/>
    <w:pPr>
      <w:jc w:val="left"/>
    </w:pPr>
  </w:style>
  <w:style w:type="paragraph" w:styleId="29">
    <w:name w:val="index 6"/>
    <w:basedOn w:val="1"/>
    <w:next w:val="1"/>
    <w:qFormat/>
    <w:uiPriority w:val="0"/>
    <w:pPr>
      <w:ind w:left="2100"/>
    </w:pPr>
  </w:style>
  <w:style w:type="paragraph" w:styleId="30">
    <w:name w:val="Salutation"/>
    <w:basedOn w:val="1"/>
    <w:next w:val="1"/>
    <w:link w:val="612"/>
    <w:qFormat/>
    <w:uiPriority w:val="0"/>
    <w:pPr>
      <w:spacing w:line="520" w:lineRule="exact"/>
      <w:ind w:firstLine="200" w:firstLineChars="200"/>
    </w:pPr>
    <w:rPr>
      <w:rFonts w:ascii="仿宋_GB2312" w:eastAsia="仿宋_GB2312"/>
      <w:sz w:val="28"/>
      <w:szCs w:val="28"/>
    </w:rPr>
  </w:style>
  <w:style w:type="paragraph" w:styleId="31">
    <w:name w:val="Body Text 3"/>
    <w:basedOn w:val="1"/>
    <w:link w:val="152"/>
    <w:qFormat/>
    <w:uiPriority w:val="0"/>
    <w:pPr>
      <w:spacing w:after="120"/>
    </w:pPr>
    <w:rPr>
      <w:sz w:val="16"/>
      <w:szCs w:val="16"/>
    </w:rPr>
  </w:style>
  <w:style w:type="paragraph" w:styleId="32">
    <w:name w:val="Closing"/>
    <w:basedOn w:val="1"/>
    <w:link w:val="1122"/>
    <w:semiHidden/>
    <w:unhideWhenUsed/>
    <w:qFormat/>
    <w:uiPriority w:val="0"/>
    <w:pPr>
      <w:spacing w:line="520" w:lineRule="exact"/>
      <w:ind w:left="100" w:leftChars="2100" w:firstLine="200" w:firstLineChars="200"/>
    </w:pPr>
    <w:rPr>
      <w:rFonts w:ascii="仿宋_GB2312" w:eastAsia="仿宋_GB2312"/>
      <w:sz w:val="28"/>
      <w:szCs w:val="28"/>
    </w:rPr>
  </w:style>
  <w:style w:type="paragraph" w:styleId="33">
    <w:name w:val="List Bullet 3"/>
    <w:basedOn w:val="1"/>
    <w:qFormat/>
    <w:uiPriority w:val="0"/>
    <w:pPr>
      <w:tabs>
        <w:tab w:val="left" w:pos="1200"/>
      </w:tabs>
      <w:spacing w:line="520" w:lineRule="exact"/>
      <w:ind w:left="1200" w:leftChars="400" w:hanging="360" w:hangingChars="200"/>
    </w:pPr>
    <w:rPr>
      <w:rFonts w:ascii="仿宋_GB2312" w:eastAsia="仿宋_GB2312"/>
      <w:sz w:val="28"/>
      <w:szCs w:val="28"/>
    </w:rPr>
  </w:style>
  <w:style w:type="paragraph" w:styleId="34">
    <w:name w:val="Body Text"/>
    <w:basedOn w:val="1"/>
    <w:link w:val="153"/>
    <w:qFormat/>
    <w:uiPriority w:val="0"/>
    <w:pPr>
      <w:jc w:val="center"/>
    </w:pPr>
    <w:rPr>
      <w:sz w:val="24"/>
    </w:rPr>
  </w:style>
  <w:style w:type="paragraph" w:styleId="35">
    <w:name w:val="List Number 3"/>
    <w:basedOn w:val="1"/>
    <w:qFormat/>
    <w:uiPriority w:val="0"/>
    <w:pPr>
      <w:tabs>
        <w:tab w:val="left" w:pos="1200"/>
      </w:tabs>
      <w:spacing w:line="520" w:lineRule="exact"/>
      <w:ind w:left="1200" w:leftChars="400" w:hanging="360" w:hangingChars="200"/>
    </w:pPr>
    <w:rPr>
      <w:rFonts w:ascii="仿宋_GB2312" w:eastAsia="仿宋_GB2312"/>
      <w:sz w:val="28"/>
      <w:szCs w:val="28"/>
    </w:rPr>
  </w:style>
  <w:style w:type="paragraph" w:styleId="36">
    <w:name w:val="List 2"/>
    <w:basedOn w:val="1"/>
    <w:qFormat/>
    <w:uiPriority w:val="0"/>
    <w:pPr>
      <w:ind w:left="100" w:leftChars="200" w:hanging="200" w:hangingChars="200"/>
    </w:pPr>
    <w:rPr>
      <w:rFonts w:eastAsia="仿宋_GB2312"/>
      <w:sz w:val="28"/>
      <w:szCs w:val="24"/>
    </w:rPr>
  </w:style>
  <w:style w:type="paragraph" w:styleId="37">
    <w:name w:val="List Continue"/>
    <w:basedOn w:val="1"/>
    <w:qFormat/>
    <w:uiPriority w:val="0"/>
    <w:pPr>
      <w:adjustRightInd w:val="0"/>
      <w:spacing w:after="120" w:line="360" w:lineRule="atLeast"/>
      <w:ind w:left="420" w:leftChars="200"/>
      <w:jc w:val="left"/>
      <w:textAlignment w:val="baseline"/>
    </w:pPr>
    <w:rPr>
      <w:kern w:val="0"/>
      <w:sz w:val="24"/>
    </w:rPr>
  </w:style>
  <w:style w:type="paragraph" w:styleId="38">
    <w:name w:val="Block Text"/>
    <w:basedOn w:val="1"/>
    <w:qFormat/>
    <w:uiPriority w:val="0"/>
    <w:pPr>
      <w:spacing w:line="0" w:lineRule="atLeast"/>
      <w:ind w:left="824" w:right="202" w:firstLine="480"/>
    </w:pPr>
    <w:rPr>
      <w:rFonts w:ascii="宋体"/>
      <w:spacing w:val="20"/>
      <w:kern w:val="0"/>
      <w:position w:val="20"/>
      <w:sz w:val="24"/>
    </w:rPr>
  </w:style>
  <w:style w:type="paragraph" w:styleId="39">
    <w:name w:val="List Bullet 2"/>
    <w:basedOn w:val="1"/>
    <w:qFormat/>
    <w:uiPriority w:val="0"/>
    <w:pPr>
      <w:tabs>
        <w:tab w:val="left" w:pos="780"/>
      </w:tabs>
      <w:spacing w:line="490" w:lineRule="exact"/>
      <w:ind w:left="780" w:hanging="360"/>
    </w:pPr>
    <w:rPr>
      <w:rFonts w:eastAsia="仿宋_GB2312"/>
      <w:sz w:val="28"/>
    </w:rPr>
  </w:style>
  <w:style w:type="paragraph" w:styleId="40">
    <w:name w:val="HTML Address"/>
    <w:basedOn w:val="1"/>
    <w:link w:val="1113"/>
    <w:qFormat/>
    <w:uiPriority w:val="99"/>
    <w:pPr>
      <w:spacing w:line="520" w:lineRule="exact"/>
      <w:ind w:firstLine="200" w:firstLineChars="200"/>
    </w:pPr>
    <w:rPr>
      <w:rFonts w:ascii="仿宋_GB2312" w:eastAsia="仿宋_GB2312"/>
      <w:i/>
      <w:iCs/>
      <w:sz w:val="28"/>
      <w:szCs w:val="28"/>
    </w:rPr>
  </w:style>
  <w:style w:type="paragraph" w:styleId="41">
    <w:name w:val="index 4"/>
    <w:basedOn w:val="1"/>
    <w:next w:val="1"/>
    <w:qFormat/>
    <w:uiPriority w:val="0"/>
    <w:pPr>
      <w:ind w:left="1260"/>
    </w:pPr>
  </w:style>
  <w:style w:type="paragraph" w:styleId="42">
    <w:name w:val="toc 5"/>
    <w:basedOn w:val="1"/>
    <w:next w:val="1"/>
    <w:qFormat/>
    <w:uiPriority w:val="39"/>
    <w:pPr>
      <w:ind w:left="1680" w:leftChars="800"/>
    </w:pPr>
    <w:rPr>
      <w:rFonts w:eastAsia="仿宋_GB2312"/>
      <w:sz w:val="28"/>
      <w:szCs w:val="24"/>
    </w:rPr>
  </w:style>
  <w:style w:type="paragraph" w:styleId="43">
    <w:name w:val="toc 3"/>
    <w:basedOn w:val="1"/>
    <w:next w:val="1"/>
    <w:qFormat/>
    <w:uiPriority w:val="39"/>
    <w:pPr>
      <w:ind w:left="840" w:leftChars="400"/>
    </w:pPr>
  </w:style>
  <w:style w:type="paragraph" w:styleId="44">
    <w:name w:val="Plain Text"/>
    <w:basedOn w:val="1"/>
    <w:link w:val="155"/>
    <w:qFormat/>
    <w:uiPriority w:val="0"/>
    <w:rPr>
      <w:rFonts w:ascii="宋体" w:hAnsi="Courier New"/>
    </w:rPr>
  </w:style>
  <w:style w:type="paragraph" w:styleId="45">
    <w:name w:val="List Bullet 5"/>
    <w:basedOn w:val="1"/>
    <w:qFormat/>
    <w:uiPriority w:val="0"/>
    <w:pPr>
      <w:tabs>
        <w:tab w:val="left" w:pos="2040"/>
      </w:tabs>
      <w:spacing w:line="520" w:lineRule="exact"/>
      <w:ind w:left="2040" w:leftChars="800" w:hanging="360" w:hangingChars="200"/>
    </w:pPr>
    <w:rPr>
      <w:rFonts w:ascii="仿宋_GB2312" w:eastAsia="仿宋_GB2312"/>
      <w:sz w:val="28"/>
      <w:szCs w:val="28"/>
    </w:rPr>
  </w:style>
  <w:style w:type="paragraph" w:styleId="46">
    <w:name w:val="List Number 4"/>
    <w:basedOn w:val="1"/>
    <w:qFormat/>
    <w:uiPriority w:val="0"/>
    <w:pPr>
      <w:tabs>
        <w:tab w:val="left" w:pos="1620"/>
      </w:tabs>
      <w:spacing w:line="520" w:lineRule="exact"/>
      <w:ind w:left="1620" w:leftChars="600" w:hanging="360" w:hangingChars="200"/>
    </w:pPr>
    <w:rPr>
      <w:rFonts w:ascii="仿宋_GB2312" w:eastAsia="仿宋_GB2312"/>
      <w:sz w:val="28"/>
      <w:szCs w:val="28"/>
    </w:rPr>
  </w:style>
  <w:style w:type="paragraph" w:styleId="47">
    <w:name w:val="toc 8"/>
    <w:basedOn w:val="1"/>
    <w:next w:val="1"/>
    <w:qFormat/>
    <w:uiPriority w:val="39"/>
    <w:pPr>
      <w:adjustRightInd w:val="0"/>
      <w:snapToGrid w:val="0"/>
      <w:spacing w:line="360" w:lineRule="auto"/>
      <w:ind w:left="1680" w:firstLine="200" w:firstLineChars="200"/>
      <w:jc w:val="left"/>
    </w:pPr>
    <w:rPr>
      <w:rFonts w:eastAsia="仿宋_GB2312"/>
      <w:sz w:val="18"/>
      <w:szCs w:val="18"/>
    </w:rPr>
  </w:style>
  <w:style w:type="paragraph" w:styleId="48">
    <w:name w:val="index 3"/>
    <w:basedOn w:val="1"/>
    <w:next w:val="1"/>
    <w:qFormat/>
    <w:uiPriority w:val="0"/>
    <w:pPr>
      <w:ind w:left="840"/>
    </w:pPr>
  </w:style>
  <w:style w:type="paragraph" w:styleId="49">
    <w:name w:val="Date"/>
    <w:basedOn w:val="1"/>
    <w:next w:val="1"/>
    <w:link w:val="156"/>
    <w:qFormat/>
    <w:uiPriority w:val="0"/>
    <w:rPr>
      <w:sz w:val="28"/>
    </w:rPr>
  </w:style>
  <w:style w:type="paragraph" w:styleId="50">
    <w:name w:val="Body Text Indent 2"/>
    <w:basedOn w:val="1"/>
    <w:link w:val="157"/>
    <w:qFormat/>
    <w:uiPriority w:val="0"/>
    <w:pPr>
      <w:spacing w:line="254" w:lineRule="auto"/>
      <w:ind w:firstLine="500" w:firstLineChars="200"/>
    </w:pPr>
    <w:rPr>
      <w:sz w:val="25"/>
    </w:rPr>
  </w:style>
  <w:style w:type="paragraph" w:styleId="51">
    <w:name w:val="endnote text"/>
    <w:basedOn w:val="1"/>
    <w:link w:val="499"/>
    <w:qFormat/>
    <w:uiPriority w:val="0"/>
    <w:pPr>
      <w:snapToGrid w:val="0"/>
      <w:jc w:val="left"/>
    </w:pPr>
    <w:rPr>
      <w:szCs w:val="24"/>
    </w:rPr>
  </w:style>
  <w:style w:type="paragraph" w:styleId="52">
    <w:name w:val="List Continue 5"/>
    <w:basedOn w:val="1"/>
    <w:qFormat/>
    <w:uiPriority w:val="0"/>
    <w:pPr>
      <w:spacing w:after="120"/>
      <w:ind w:left="2100" w:leftChars="1000"/>
    </w:pPr>
    <w:rPr>
      <w:szCs w:val="24"/>
    </w:rPr>
  </w:style>
  <w:style w:type="paragraph" w:styleId="53">
    <w:name w:val="Balloon Text"/>
    <w:basedOn w:val="1"/>
    <w:link w:val="158"/>
    <w:qFormat/>
    <w:uiPriority w:val="99"/>
    <w:rPr>
      <w:sz w:val="18"/>
      <w:szCs w:val="18"/>
    </w:rPr>
  </w:style>
  <w:style w:type="paragraph" w:styleId="54">
    <w:name w:val="footer"/>
    <w:basedOn w:val="1"/>
    <w:link w:val="159"/>
    <w:qFormat/>
    <w:uiPriority w:val="0"/>
    <w:pPr>
      <w:tabs>
        <w:tab w:val="center" w:pos="4153"/>
        <w:tab w:val="right" w:pos="8306"/>
      </w:tabs>
      <w:snapToGrid w:val="0"/>
      <w:jc w:val="left"/>
    </w:pPr>
    <w:rPr>
      <w:sz w:val="18"/>
    </w:rPr>
  </w:style>
  <w:style w:type="paragraph" w:styleId="55">
    <w:name w:val="envelope return"/>
    <w:basedOn w:val="1"/>
    <w:semiHidden/>
    <w:unhideWhenUsed/>
    <w:qFormat/>
    <w:uiPriority w:val="0"/>
    <w:pPr>
      <w:snapToGrid w:val="0"/>
      <w:spacing w:line="520" w:lineRule="exact"/>
      <w:ind w:firstLine="200" w:firstLineChars="200"/>
    </w:pPr>
    <w:rPr>
      <w:rFonts w:ascii="Arial" w:hAnsi="Arial" w:eastAsia="仿宋_GB2312" w:cs="Arial"/>
      <w:sz w:val="28"/>
      <w:szCs w:val="28"/>
    </w:rPr>
  </w:style>
  <w:style w:type="paragraph" w:styleId="56">
    <w:name w:val="header"/>
    <w:basedOn w:val="1"/>
    <w:link w:val="160"/>
    <w:qFormat/>
    <w:uiPriority w:val="99"/>
    <w:pPr>
      <w:pBdr>
        <w:bottom w:val="single" w:color="auto" w:sz="6" w:space="1"/>
      </w:pBdr>
      <w:tabs>
        <w:tab w:val="center" w:pos="4153"/>
        <w:tab w:val="right" w:pos="8306"/>
      </w:tabs>
      <w:snapToGrid w:val="0"/>
      <w:jc w:val="center"/>
    </w:pPr>
    <w:rPr>
      <w:sz w:val="18"/>
    </w:rPr>
  </w:style>
  <w:style w:type="paragraph" w:styleId="57">
    <w:name w:val="Signature"/>
    <w:basedOn w:val="1"/>
    <w:link w:val="1123"/>
    <w:semiHidden/>
    <w:unhideWhenUsed/>
    <w:qFormat/>
    <w:uiPriority w:val="0"/>
    <w:pPr>
      <w:adjustRightInd w:val="0"/>
      <w:snapToGrid w:val="0"/>
      <w:spacing w:line="400" w:lineRule="exact"/>
      <w:ind w:left="100" w:leftChars="2100" w:firstLine="200" w:firstLineChars="200"/>
    </w:pPr>
    <w:rPr>
      <w:rFonts w:eastAsia="楷体_GB2312"/>
      <w:kern w:val="0"/>
      <w:sz w:val="24"/>
      <w:szCs w:val="28"/>
    </w:rPr>
  </w:style>
  <w:style w:type="paragraph" w:styleId="58">
    <w:name w:val="toc 1"/>
    <w:basedOn w:val="1"/>
    <w:next w:val="1"/>
    <w:qFormat/>
    <w:uiPriority w:val="39"/>
    <w:pPr>
      <w:tabs>
        <w:tab w:val="left" w:pos="735"/>
        <w:tab w:val="right" w:leader="dot" w:pos="8511"/>
      </w:tabs>
      <w:spacing w:line="480" w:lineRule="auto"/>
    </w:pPr>
  </w:style>
  <w:style w:type="paragraph" w:styleId="59">
    <w:name w:val="List Continue 4"/>
    <w:basedOn w:val="1"/>
    <w:semiHidden/>
    <w:unhideWhenUsed/>
    <w:qFormat/>
    <w:uiPriority w:val="0"/>
    <w:pPr>
      <w:spacing w:after="120" w:line="520" w:lineRule="exact"/>
      <w:ind w:left="1680" w:leftChars="800" w:firstLine="200" w:firstLineChars="200"/>
    </w:pPr>
    <w:rPr>
      <w:rFonts w:ascii="仿宋_GB2312" w:eastAsia="仿宋_GB2312"/>
      <w:sz w:val="28"/>
      <w:szCs w:val="28"/>
    </w:rPr>
  </w:style>
  <w:style w:type="paragraph" w:styleId="60">
    <w:name w:val="toc 4"/>
    <w:basedOn w:val="1"/>
    <w:next w:val="1"/>
    <w:qFormat/>
    <w:uiPriority w:val="39"/>
    <w:pPr>
      <w:adjustRightInd w:val="0"/>
      <w:snapToGrid w:val="0"/>
      <w:spacing w:line="360" w:lineRule="auto"/>
      <w:ind w:left="720" w:firstLine="200" w:firstLineChars="200"/>
      <w:jc w:val="left"/>
    </w:pPr>
    <w:rPr>
      <w:rFonts w:eastAsia="仿宋_GB2312"/>
      <w:sz w:val="18"/>
      <w:szCs w:val="18"/>
    </w:rPr>
  </w:style>
  <w:style w:type="paragraph" w:styleId="61">
    <w:name w:val="index heading"/>
    <w:basedOn w:val="1"/>
    <w:next w:val="62"/>
    <w:qFormat/>
    <w:uiPriority w:val="0"/>
  </w:style>
  <w:style w:type="paragraph" w:styleId="62">
    <w:name w:val="index 1"/>
    <w:basedOn w:val="1"/>
    <w:next w:val="1"/>
    <w:qFormat/>
    <w:uiPriority w:val="99"/>
    <w:pPr>
      <w:spacing w:before="100" w:beforeAutospacing="1" w:after="100" w:afterAutospacing="1"/>
      <w:jc w:val="center"/>
    </w:pPr>
    <w:rPr>
      <w:color w:val="000000"/>
      <w:szCs w:val="24"/>
    </w:rPr>
  </w:style>
  <w:style w:type="paragraph" w:styleId="63">
    <w:name w:val="Subtitle"/>
    <w:basedOn w:val="1"/>
    <w:link w:val="1126"/>
    <w:qFormat/>
    <w:uiPriority w:val="0"/>
    <w:pPr>
      <w:spacing w:before="240" w:after="60" w:line="312" w:lineRule="auto"/>
      <w:ind w:firstLine="200" w:firstLineChars="200"/>
      <w:jc w:val="center"/>
      <w:outlineLvl w:val="1"/>
    </w:pPr>
    <w:rPr>
      <w:rFonts w:ascii="Arial" w:hAnsi="Arial"/>
      <w:b/>
      <w:bCs/>
      <w:kern w:val="28"/>
      <w:sz w:val="32"/>
      <w:szCs w:val="32"/>
    </w:rPr>
  </w:style>
  <w:style w:type="paragraph" w:styleId="64">
    <w:name w:val="List Number 5"/>
    <w:basedOn w:val="1"/>
    <w:qFormat/>
    <w:uiPriority w:val="0"/>
    <w:pPr>
      <w:tabs>
        <w:tab w:val="left" w:pos="2040"/>
      </w:tabs>
      <w:spacing w:line="520" w:lineRule="exact"/>
      <w:ind w:left="2040" w:leftChars="800" w:hanging="360" w:hangingChars="200"/>
    </w:pPr>
    <w:rPr>
      <w:rFonts w:ascii="仿宋_GB2312" w:eastAsia="仿宋_GB2312"/>
      <w:sz w:val="28"/>
      <w:szCs w:val="28"/>
    </w:rPr>
  </w:style>
  <w:style w:type="paragraph" w:styleId="65">
    <w:name w:val="List"/>
    <w:basedOn w:val="1"/>
    <w:qFormat/>
    <w:uiPriority w:val="0"/>
    <w:pPr>
      <w:ind w:left="200" w:hanging="200" w:hangingChars="200"/>
    </w:pPr>
    <w:rPr>
      <w:szCs w:val="24"/>
    </w:rPr>
  </w:style>
  <w:style w:type="paragraph" w:styleId="66">
    <w:name w:val="footnote text"/>
    <w:basedOn w:val="1"/>
    <w:link w:val="360"/>
    <w:qFormat/>
    <w:uiPriority w:val="0"/>
    <w:pPr>
      <w:snapToGrid w:val="0"/>
      <w:jc w:val="left"/>
    </w:pPr>
    <w:rPr>
      <w:rFonts w:eastAsia="仿宋_GB2312"/>
      <w:sz w:val="18"/>
      <w:szCs w:val="18"/>
    </w:rPr>
  </w:style>
  <w:style w:type="paragraph" w:styleId="67">
    <w:name w:val="toc 6"/>
    <w:basedOn w:val="1"/>
    <w:next w:val="1"/>
    <w:qFormat/>
    <w:uiPriority w:val="39"/>
    <w:pPr>
      <w:jc w:val="center"/>
    </w:pPr>
    <w:rPr>
      <w:rFonts w:ascii="Arial Unicode MS" w:hAnsi="Arial Unicode MS" w:eastAsia="Arial Unicode MS" w:cs="Arial Unicode MS"/>
      <w:color w:val="000000"/>
      <w:sz w:val="28"/>
      <w:szCs w:val="18"/>
    </w:rPr>
  </w:style>
  <w:style w:type="paragraph" w:styleId="68">
    <w:name w:val="List 5"/>
    <w:basedOn w:val="1"/>
    <w:unhideWhenUsed/>
    <w:qFormat/>
    <w:uiPriority w:val="0"/>
    <w:pPr>
      <w:spacing w:line="520" w:lineRule="exact"/>
      <w:ind w:left="100" w:leftChars="800" w:hanging="200" w:hangingChars="200"/>
    </w:pPr>
    <w:rPr>
      <w:rFonts w:ascii="仿宋_GB2312" w:eastAsia="仿宋_GB2312"/>
      <w:sz w:val="28"/>
      <w:szCs w:val="28"/>
    </w:rPr>
  </w:style>
  <w:style w:type="paragraph" w:styleId="69">
    <w:name w:val="Body Text Indent 3"/>
    <w:basedOn w:val="1"/>
    <w:link w:val="161"/>
    <w:qFormat/>
    <w:uiPriority w:val="0"/>
    <w:pPr>
      <w:snapToGrid w:val="0"/>
      <w:spacing w:line="360" w:lineRule="auto"/>
      <w:ind w:firstLine="540"/>
    </w:pPr>
    <w:rPr>
      <w:sz w:val="25"/>
    </w:rPr>
  </w:style>
  <w:style w:type="paragraph" w:styleId="70">
    <w:name w:val="index 7"/>
    <w:basedOn w:val="1"/>
    <w:next w:val="1"/>
    <w:qFormat/>
    <w:uiPriority w:val="0"/>
    <w:pPr>
      <w:ind w:left="2520"/>
    </w:pPr>
  </w:style>
  <w:style w:type="paragraph" w:styleId="71">
    <w:name w:val="index 9"/>
    <w:basedOn w:val="1"/>
    <w:next w:val="1"/>
    <w:qFormat/>
    <w:uiPriority w:val="0"/>
    <w:pPr>
      <w:ind w:left="3360"/>
    </w:pPr>
  </w:style>
  <w:style w:type="paragraph" w:styleId="72">
    <w:name w:val="table of figures"/>
    <w:basedOn w:val="1"/>
    <w:next w:val="1"/>
    <w:qFormat/>
    <w:uiPriority w:val="0"/>
    <w:pPr>
      <w:ind w:left="200" w:leftChars="200" w:hanging="200" w:hangingChars="200"/>
    </w:pPr>
  </w:style>
  <w:style w:type="paragraph" w:styleId="73">
    <w:name w:val="toc 2"/>
    <w:basedOn w:val="1"/>
    <w:next w:val="1"/>
    <w:qFormat/>
    <w:uiPriority w:val="39"/>
    <w:pPr>
      <w:ind w:left="420" w:leftChars="200"/>
    </w:pPr>
  </w:style>
  <w:style w:type="paragraph" w:styleId="74">
    <w:name w:val="toc 9"/>
    <w:basedOn w:val="1"/>
    <w:next w:val="1"/>
    <w:unhideWhenUsed/>
    <w:qFormat/>
    <w:uiPriority w:val="39"/>
    <w:pPr>
      <w:ind w:left="3360" w:leftChars="1600"/>
    </w:pPr>
    <w:rPr>
      <w:rFonts w:eastAsia="仿宋_GB2312"/>
      <w:sz w:val="28"/>
      <w:szCs w:val="24"/>
    </w:rPr>
  </w:style>
  <w:style w:type="paragraph" w:styleId="75">
    <w:name w:val="Body Text 2"/>
    <w:basedOn w:val="1"/>
    <w:link w:val="162"/>
    <w:qFormat/>
    <w:uiPriority w:val="0"/>
    <w:pPr>
      <w:spacing w:line="312" w:lineRule="auto"/>
    </w:pPr>
    <w:rPr>
      <w:sz w:val="25"/>
    </w:rPr>
  </w:style>
  <w:style w:type="paragraph" w:styleId="76">
    <w:name w:val="List 4"/>
    <w:basedOn w:val="1"/>
    <w:qFormat/>
    <w:uiPriority w:val="0"/>
    <w:pPr>
      <w:adjustRightInd w:val="0"/>
      <w:spacing w:line="360" w:lineRule="atLeast"/>
      <w:ind w:left="100" w:leftChars="600" w:hanging="200" w:hangingChars="200"/>
      <w:jc w:val="left"/>
      <w:textAlignment w:val="baseline"/>
    </w:pPr>
    <w:rPr>
      <w:kern w:val="0"/>
      <w:sz w:val="24"/>
    </w:rPr>
  </w:style>
  <w:style w:type="paragraph" w:styleId="77">
    <w:name w:val="List Continue 2"/>
    <w:basedOn w:val="1"/>
    <w:qFormat/>
    <w:uiPriority w:val="0"/>
    <w:pPr>
      <w:spacing w:after="120"/>
      <w:ind w:left="840" w:leftChars="400"/>
    </w:pPr>
  </w:style>
  <w:style w:type="paragraph" w:styleId="78">
    <w:name w:val="Message Header"/>
    <w:basedOn w:val="1"/>
    <w:link w:val="1125"/>
    <w:semiHidden/>
    <w:unhideWhenUsed/>
    <w:qFormat/>
    <w:uiPriority w:val="0"/>
    <w:pPr>
      <w:pBdr>
        <w:top w:val="single" w:color="auto" w:sz="6" w:space="1"/>
        <w:left w:val="single" w:color="auto" w:sz="6" w:space="1"/>
        <w:bottom w:val="single" w:color="auto" w:sz="6" w:space="1"/>
        <w:right w:val="single" w:color="auto" w:sz="6" w:space="1"/>
      </w:pBdr>
      <w:shd w:val="pct20" w:color="auto" w:fill="auto"/>
      <w:spacing w:line="520" w:lineRule="exact"/>
      <w:ind w:left="1080" w:leftChars="500" w:hanging="1080" w:hangingChars="500"/>
    </w:pPr>
    <w:rPr>
      <w:rFonts w:ascii="Arial" w:hAnsi="Arial" w:eastAsia="仿宋_GB2312"/>
      <w:sz w:val="24"/>
      <w:szCs w:val="24"/>
    </w:rPr>
  </w:style>
  <w:style w:type="paragraph" w:styleId="79">
    <w:name w:val="HTML Preformatted"/>
    <w:basedOn w:val="1"/>
    <w:link w:val="50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80">
    <w:name w:val="Normal (Web)"/>
    <w:basedOn w:val="1"/>
    <w:qFormat/>
    <w:uiPriority w:val="99"/>
    <w:pPr>
      <w:widowControl/>
      <w:spacing w:before="100" w:beforeAutospacing="1" w:after="100" w:afterAutospacing="1"/>
      <w:jc w:val="left"/>
    </w:pPr>
    <w:rPr>
      <w:kern w:val="0"/>
      <w:sz w:val="24"/>
      <w:szCs w:val="24"/>
    </w:rPr>
  </w:style>
  <w:style w:type="paragraph" w:styleId="81">
    <w:name w:val="List Continue 3"/>
    <w:basedOn w:val="1"/>
    <w:semiHidden/>
    <w:unhideWhenUsed/>
    <w:qFormat/>
    <w:uiPriority w:val="0"/>
    <w:pPr>
      <w:spacing w:after="120" w:line="520" w:lineRule="exact"/>
      <w:ind w:left="1260" w:leftChars="600" w:firstLine="200" w:firstLineChars="200"/>
    </w:pPr>
    <w:rPr>
      <w:rFonts w:ascii="仿宋_GB2312" w:eastAsia="仿宋_GB2312"/>
      <w:sz w:val="28"/>
      <w:szCs w:val="28"/>
    </w:rPr>
  </w:style>
  <w:style w:type="paragraph" w:styleId="82">
    <w:name w:val="index 2"/>
    <w:basedOn w:val="1"/>
    <w:next w:val="1"/>
    <w:qFormat/>
    <w:uiPriority w:val="0"/>
    <w:pPr>
      <w:ind w:left="420"/>
    </w:pPr>
  </w:style>
  <w:style w:type="paragraph" w:styleId="83">
    <w:name w:val="Title"/>
    <w:basedOn w:val="1"/>
    <w:link w:val="163"/>
    <w:qFormat/>
    <w:uiPriority w:val="0"/>
    <w:pPr>
      <w:spacing w:before="60" w:after="60"/>
      <w:ind w:left="210" w:leftChars="100"/>
      <w:outlineLvl w:val="0"/>
    </w:pPr>
    <w:rPr>
      <w:rFonts w:ascii="Arial" w:hAnsi="Arial" w:cs="Arial"/>
      <w:b/>
      <w:bCs/>
      <w:sz w:val="24"/>
      <w:szCs w:val="32"/>
    </w:rPr>
  </w:style>
  <w:style w:type="paragraph" w:styleId="84">
    <w:name w:val="annotation subject"/>
    <w:basedOn w:val="28"/>
    <w:next w:val="28"/>
    <w:link w:val="164"/>
    <w:qFormat/>
    <w:uiPriority w:val="99"/>
    <w:rPr>
      <w:b/>
      <w:bCs/>
    </w:rPr>
  </w:style>
  <w:style w:type="paragraph" w:styleId="85">
    <w:name w:val="Body Text First Indent"/>
    <w:basedOn w:val="34"/>
    <w:link w:val="165"/>
    <w:qFormat/>
    <w:uiPriority w:val="0"/>
    <w:pPr>
      <w:spacing w:after="120"/>
      <w:ind w:firstLine="420"/>
      <w:jc w:val="both"/>
    </w:pPr>
    <w:rPr>
      <w:sz w:val="21"/>
    </w:rPr>
  </w:style>
  <w:style w:type="table" w:styleId="87">
    <w:name w:val="Table Grid"/>
    <w:basedOn w:val="8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8">
    <w:name w:val="Table Theme"/>
    <w:basedOn w:val="86"/>
    <w:semiHidden/>
    <w:unhideWhenUsed/>
    <w:qFormat/>
    <w:uiPriority w:val="0"/>
    <w:pPr>
      <w:widowControl w:val="0"/>
      <w:spacing w:line="360" w:lineRule="auto"/>
      <w:ind w:firstLine="56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9">
    <w:name w:val="Table Colorful 1"/>
    <w:basedOn w:val="86"/>
    <w:semiHidden/>
    <w:unhideWhenUsed/>
    <w:qFormat/>
    <w:uiPriority w:val="0"/>
    <w:pPr>
      <w:widowControl w:val="0"/>
      <w:spacing w:line="360" w:lineRule="auto"/>
      <w:ind w:firstLine="560" w:firstLineChars="20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0">
    <w:name w:val="Table Colorful 2"/>
    <w:basedOn w:val="86"/>
    <w:semiHidden/>
    <w:unhideWhenUsed/>
    <w:qFormat/>
    <w:uiPriority w:val="0"/>
    <w:pPr>
      <w:widowControl w:val="0"/>
      <w:spacing w:line="360" w:lineRule="auto"/>
      <w:ind w:firstLine="560" w:firstLineChars="20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1">
    <w:name w:val="Table Colorful 3"/>
    <w:basedOn w:val="86"/>
    <w:semiHidden/>
    <w:unhideWhenUsed/>
    <w:qFormat/>
    <w:uiPriority w:val="0"/>
    <w:pPr>
      <w:widowControl w:val="0"/>
      <w:spacing w:line="360" w:lineRule="auto"/>
      <w:ind w:firstLine="560" w:firstLineChars="20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2">
    <w:name w:val="Table Elegant"/>
    <w:basedOn w:val="86"/>
    <w:semiHidden/>
    <w:unhideWhenUsed/>
    <w:qFormat/>
    <w:uiPriority w:val="0"/>
    <w:pPr>
      <w:widowControl w:val="0"/>
      <w:spacing w:line="360" w:lineRule="auto"/>
      <w:ind w:firstLine="56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styleId="93">
    <w:name w:val="Table Classic 1"/>
    <w:basedOn w:val="86"/>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4">
    <w:name w:val="Table Classic 2"/>
    <w:basedOn w:val="86"/>
    <w:semiHidden/>
    <w:unhideWhenUsed/>
    <w:qFormat/>
    <w:uiPriority w:val="0"/>
    <w:pPr>
      <w:widowControl w:val="0"/>
      <w:spacing w:line="360" w:lineRule="auto"/>
      <w:ind w:firstLine="560" w:firstLineChars="200"/>
      <w:jc w:val="both"/>
    </w:pPr>
    <w:tblPr>
      <w:tblBorders>
        <w:top w:val="single" w:color="000000" w:sz="12" w:space="0"/>
        <w:bottom w:val="single" w:color="000000" w:sz="12" w:space="0"/>
      </w:tblBorders>
      <w:tblCellMar>
        <w:top w:w="0" w:type="dxa"/>
        <w:left w:w="108" w:type="dxa"/>
        <w:bottom w:w="0" w:type="dxa"/>
        <w:right w:w="108" w:type="dxa"/>
      </w:tblCellMar>
    </w:tbl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5">
    <w:name w:val="Table Classic 3"/>
    <w:basedOn w:val="86"/>
    <w:semiHidden/>
    <w:unhideWhenUsed/>
    <w:qFormat/>
    <w:uiPriority w:val="0"/>
    <w:pPr>
      <w:widowControl w:val="0"/>
      <w:spacing w:line="360" w:lineRule="auto"/>
      <w:ind w:firstLine="560" w:firstLineChars="20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6">
    <w:name w:val="Table Classic 4"/>
    <w:basedOn w:val="86"/>
    <w:semiHidden/>
    <w:unhideWhenUsed/>
    <w:qFormat/>
    <w:uiPriority w:val="0"/>
    <w:pPr>
      <w:widowControl w:val="0"/>
      <w:spacing w:line="360" w:lineRule="auto"/>
      <w:ind w:firstLine="560" w:firstLineChars="20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7">
    <w:name w:val="Table Simple 1"/>
    <w:basedOn w:val="86"/>
    <w:semiHidden/>
    <w:unhideWhenUsed/>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98">
    <w:name w:val="Table Simple 2"/>
    <w:basedOn w:val="86"/>
    <w:semiHidden/>
    <w:unhideWhenUsed/>
    <w:qFormat/>
    <w:uiPriority w:val="0"/>
    <w:pPr>
      <w:widowControl w:val="0"/>
      <w:spacing w:line="360" w:lineRule="auto"/>
      <w:ind w:firstLine="560" w:firstLineChars="200"/>
      <w:jc w:val="both"/>
    </w:p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99">
    <w:name w:val="Table Simple 3"/>
    <w:basedOn w:val="86"/>
    <w:semiHidden/>
    <w:unhideWhenUsed/>
    <w:qFormat/>
    <w:uiPriority w:val="0"/>
    <w:pPr>
      <w:widowControl w:val="0"/>
      <w:spacing w:line="360" w:lineRule="auto"/>
      <w:ind w:firstLine="560" w:firstLineChars="20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bCs/>
        <w:color w:val="FFFFFF"/>
      </w:rPr>
      <w:tblPr/>
      <w:tcPr>
        <w:tcBorders>
          <w:tl2br w:val="nil"/>
          <w:tr2bl w:val="nil"/>
        </w:tcBorders>
        <w:shd w:val="solid" w:color="000000" w:fill="FFFFFF"/>
      </w:tcPr>
    </w:tblStylePr>
  </w:style>
  <w:style w:type="table" w:styleId="100">
    <w:name w:val="Table Subtle 1"/>
    <w:basedOn w:val="86"/>
    <w:semiHidden/>
    <w:unhideWhenUsed/>
    <w:qFormat/>
    <w:uiPriority w:val="0"/>
    <w:pPr>
      <w:widowControl w:val="0"/>
      <w:spacing w:line="360" w:lineRule="auto"/>
      <w:ind w:firstLine="560" w:firstLineChars="200"/>
      <w:jc w:val="both"/>
    </w:p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1">
    <w:name w:val="Table Subtle 2"/>
    <w:basedOn w:val="86"/>
    <w:semiHidden/>
    <w:unhideWhenUsed/>
    <w:qFormat/>
    <w:uiPriority w:val="0"/>
    <w:pPr>
      <w:widowControl w:val="0"/>
      <w:spacing w:line="360" w:lineRule="auto"/>
      <w:ind w:firstLine="560" w:firstLineChars="200"/>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2">
    <w:name w:val="Table 3D effects 1"/>
    <w:basedOn w:val="86"/>
    <w:semiHidden/>
    <w:unhideWhenUsed/>
    <w:qFormat/>
    <w:uiPriority w:val="0"/>
    <w:pPr>
      <w:widowControl w:val="0"/>
      <w:spacing w:line="360" w:lineRule="auto"/>
      <w:ind w:firstLine="560" w:firstLineChars="200"/>
      <w:jc w:val="both"/>
    </w:p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3">
    <w:name w:val="Table 3D effects 2"/>
    <w:basedOn w:val="86"/>
    <w:semiHidden/>
    <w:unhideWhenUsed/>
    <w:qFormat/>
    <w:uiPriority w:val="0"/>
    <w:pPr>
      <w:widowControl w:val="0"/>
      <w:spacing w:line="360" w:lineRule="auto"/>
      <w:ind w:firstLine="560" w:firstLineChars="200"/>
      <w:jc w:val="both"/>
    </w:p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4">
    <w:name w:val="Table 3D effects 3"/>
    <w:basedOn w:val="86"/>
    <w:semiHidden/>
    <w:unhideWhenUsed/>
    <w:qFormat/>
    <w:uiPriority w:val="0"/>
    <w:pPr>
      <w:widowControl w:val="0"/>
      <w:spacing w:line="360" w:lineRule="auto"/>
      <w:ind w:firstLine="560" w:firstLineChars="200"/>
      <w:jc w:val="both"/>
    </w:p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5">
    <w:name w:val="Table List 1"/>
    <w:basedOn w:val="86"/>
    <w:semiHidden/>
    <w:unhideWhenUsed/>
    <w:qFormat/>
    <w:uiPriority w:val="0"/>
    <w:pPr>
      <w:widowControl w:val="0"/>
      <w:spacing w:line="360" w:lineRule="auto"/>
      <w:ind w:firstLine="560" w:firstLineChars="20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6">
    <w:name w:val="Table List 2"/>
    <w:basedOn w:val="86"/>
    <w:semiHidden/>
    <w:unhideWhenUsed/>
    <w:qFormat/>
    <w:uiPriority w:val="0"/>
    <w:pPr>
      <w:widowControl w:val="0"/>
      <w:spacing w:line="360" w:lineRule="auto"/>
      <w:ind w:firstLine="560" w:firstLineChars="20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7">
    <w:name w:val="Table List 3"/>
    <w:basedOn w:val="86"/>
    <w:semiHidden/>
    <w:unhideWhenUsed/>
    <w:qFormat/>
    <w:uiPriority w:val="0"/>
    <w:pPr>
      <w:widowControl w:val="0"/>
      <w:spacing w:line="360" w:lineRule="auto"/>
      <w:ind w:firstLine="560" w:firstLineChars="20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08">
    <w:name w:val="Table List 4"/>
    <w:basedOn w:val="86"/>
    <w:semiHidden/>
    <w:unhideWhenUsed/>
    <w:qFormat/>
    <w:uiPriority w:val="0"/>
    <w:pPr>
      <w:widowControl w:val="0"/>
      <w:spacing w:line="360" w:lineRule="auto"/>
      <w:ind w:firstLine="56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blStylePr w:type="firstRow">
      <w:rPr>
        <w:b/>
        <w:bCs/>
        <w:color w:val="FFFFFF"/>
      </w:rPr>
      <w:tblPr/>
      <w:tcPr>
        <w:tcBorders>
          <w:bottom w:val="single" w:color="000000" w:sz="12" w:space="0"/>
          <w:tl2br w:val="nil"/>
          <w:tr2bl w:val="nil"/>
        </w:tcBorders>
        <w:shd w:val="solid" w:color="808080" w:fill="FFFFFF"/>
      </w:tcPr>
    </w:tblStylePr>
  </w:style>
  <w:style w:type="table" w:styleId="109">
    <w:name w:val="Table List 5"/>
    <w:basedOn w:val="86"/>
    <w:semiHidden/>
    <w:unhideWhenUsed/>
    <w:qFormat/>
    <w:uiPriority w:val="0"/>
    <w:pPr>
      <w:widowControl w:val="0"/>
      <w:spacing w:line="360" w:lineRule="auto"/>
      <w:ind w:firstLine="56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0">
    <w:name w:val="Table List 6"/>
    <w:basedOn w:val="86"/>
    <w:semiHidden/>
    <w:unhideWhenUsed/>
    <w:qFormat/>
    <w:uiPriority w:val="0"/>
    <w:pPr>
      <w:widowControl w:val="0"/>
      <w:spacing w:line="360" w:lineRule="auto"/>
      <w:ind w:firstLine="560" w:firstLineChars="20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1">
    <w:name w:val="Table List 7"/>
    <w:basedOn w:val="86"/>
    <w:semiHidden/>
    <w:unhideWhenUsed/>
    <w:qFormat/>
    <w:uiPriority w:val="0"/>
    <w:pPr>
      <w:widowControl w:val="0"/>
      <w:spacing w:line="360" w:lineRule="auto"/>
      <w:ind w:firstLine="560" w:firstLineChars="20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2">
    <w:name w:val="Table List 8"/>
    <w:basedOn w:val="86"/>
    <w:semiHidden/>
    <w:unhideWhenUsed/>
    <w:qFormat/>
    <w:uiPriority w:val="0"/>
    <w:pPr>
      <w:widowControl w:val="0"/>
      <w:spacing w:line="360" w:lineRule="auto"/>
      <w:ind w:firstLine="560" w:firstLineChars="20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3">
    <w:name w:val="Table Contemporary"/>
    <w:basedOn w:val="86"/>
    <w:semiHidden/>
    <w:unhideWhenUsed/>
    <w:qFormat/>
    <w:uiPriority w:val="0"/>
    <w:pPr>
      <w:widowControl w:val="0"/>
      <w:spacing w:line="360" w:lineRule="auto"/>
      <w:ind w:firstLine="560" w:firstLineChars="20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4">
    <w:name w:val="Table Columns 1"/>
    <w:basedOn w:val="86"/>
    <w:semiHidden/>
    <w:unhideWhenUsed/>
    <w:qFormat/>
    <w:uiPriority w:val="0"/>
    <w:pPr>
      <w:widowControl w:val="0"/>
      <w:spacing w:line="360" w:lineRule="auto"/>
      <w:ind w:firstLine="560" w:firstLineChars="20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5">
    <w:name w:val="Table Columns 2"/>
    <w:basedOn w:val="86"/>
    <w:semiHidden/>
    <w:unhideWhenUsed/>
    <w:qFormat/>
    <w:uiPriority w:val="0"/>
    <w:pPr>
      <w:widowControl w:val="0"/>
      <w:spacing w:line="360" w:lineRule="auto"/>
      <w:ind w:firstLine="560" w:firstLineChars="200"/>
      <w:jc w:val="both"/>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6">
    <w:name w:val="Table Columns 3"/>
    <w:basedOn w:val="86"/>
    <w:semiHidden/>
    <w:unhideWhenUsed/>
    <w:qFormat/>
    <w:uiPriority w:val="0"/>
    <w:pPr>
      <w:widowControl w:val="0"/>
      <w:spacing w:line="360" w:lineRule="auto"/>
      <w:ind w:firstLine="560" w:firstLineChars="20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7">
    <w:name w:val="Table Columns 4"/>
    <w:basedOn w:val="86"/>
    <w:semiHidden/>
    <w:unhideWhenUsed/>
    <w:qFormat/>
    <w:uiPriority w:val="0"/>
    <w:pPr>
      <w:widowControl w:val="0"/>
      <w:spacing w:line="360" w:lineRule="auto"/>
      <w:ind w:firstLine="560" w:firstLineChars="200"/>
      <w:jc w:val="both"/>
    </w:p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8">
    <w:name w:val="Table Columns 5"/>
    <w:basedOn w:val="86"/>
    <w:semiHidden/>
    <w:unhideWhenUsed/>
    <w:qFormat/>
    <w:uiPriority w:val="0"/>
    <w:pPr>
      <w:widowControl w:val="0"/>
      <w:spacing w:line="360" w:lineRule="auto"/>
      <w:ind w:firstLine="560" w:firstLineChars="20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9">
    <w:name w:val="Table Grid 1"/>
    <w:basedOn w:val="86"/>
    <w:semiHidden/>
    <w:unhideWhenUsed/>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0">
    <w:name w:val="Table Grid 2"/>
    <w:basedOn w:val="86"/>
    <w:semiHidden/>
    <w:unhideWhenUsed/>
    <w:qFormat/>
    <w:uiPriority w:val="0"/>
    <w:pPr>
      <w:widowControl w:val="0"/>
      <w:spacing w:line="360" w:lineRule="auto"/>
      <w:ind w:firstLine="560" w:firstLineChars="200"/>
      <w:jc w:val="both"/>
    </w:pPr>
    <w:tblPr>
      <w:tblBorders>
        <w:insideH w:val="single" w:color="000000" w:sz="6" w:space="0"/>
        <w:insideV w:val="single" w:color="000000" w:sz="6" w:space="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1">
    <w:name w:val="Table Grid 3"/>
    <w:basedOn w:val="86"/>
    <w:semiHidden/>
    <w:unhideWhenUsed/>
    <w:qFormat/>
    <w:uiPriority w:val="0"/>
    <w:pPr>
      <w:widowControl w:val="0"/>
      <w:spacing w:line="360" w:lineRule="auto"/>
      <w:ind w:firstLine="56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4"/>
    <w:basedOn w:val="86"/>
    <w:semiHidden/>
    <w:unhideWhenUsed/>
    <w:qFormat/>
    <w:uiPriority w:val="0"/>
    <w:pPr>
      <w:widowControl w:val="0"/>
      <w:spacing w:line="360" w:lineRule="auto"/>
      <w:ind w:firstLine="560" w:firstLineChars="20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3">
    <w:name w:val="Table Grid 5"/>
    <w:basedOn w:val="86"/>
    <w:semiHidden/>
    <w:unhideWhenUsed/>
    <w:qFormat/>
    <w:uiPriority w:val="0"/>
    <w:pPr>
      <w:widowControl w:val="0"/>
      <w:spacing w:line="360" w:lineRule="auto"/>
      <w:ind w:firstLine="56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6"/>
    <w:basedOn w:val="86"/>
    <w:semiHidden/>
    <w:unhideWhenUsed/>
    <w:qFormat/>
    <w:uiPriority w:val="0"/>
    <w:pPr>
      <w:widowControl w:val="0"/>
      <w:spacing w:line="360" w:lineRule="auto"/>
      <w:ind w:firstLine="56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7"/>
    <w:basedOn w:val="86"/>
    <w:semiHidden/>
    <w:unhideWhenUsed/>
    <w:qFormat/>
    <w:uiPriority w:val="0"/>
    <w:pPr>
      <w:widowControl w:val="0"/>
      <w:spacing w:line="360" w:lineRule="auto"/>
      <w:ind w:firstLine="56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8"/>
    <w:basedOn w:val="86"/>
    <w:semiHidden/>
    <w:unhideWhenUsed/>
    <w:qFormat/>
    <w:uiPriority w:val="0"/>
    <w:pPr>
      <w:widowControl w:val="0"/>
      <w:spacing w:line="360" w:lineRule="auto"/>
      <w:ind w:firstLine="560" w:firstLineChars="20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7">
    <w:name w:val="Table Web 1"/>
    <w:basedOn w:val="86"/>
    <w:semiHidden/>
    <w:unhideWhenUsed/>
    <w:qFormat/>
    <w:uiPriority w:val="0"/>
    <w:pPr>
      <w:widowControl w:val="0"/>
      <w:spacing w:line="360" w:lineRule="auto"/>
      <w:ind w:firstLine="56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styleId="128">
    <w:name w:val="Table Web 2"/>
    <w:basedOn w:val="86"/>
    <w:semiHidden/>
    <w:unhideWhenUsed/>
    <w:qFormat/>
    <w:uiPriority w:val="0"/>
    <w:pPr>
      <w:widowControl w:val="0"/>
      <w:spacing w:line="360" w:lineRule="auto"/>
      <w:ind w:firstLine="56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styleId="129">
    <w:name w:val="Table Web 3"/>
    <w:basedOn w:val="86"/>
    <w:semiHidden/>
    <w:unhideWhenUsed/>
    <w:qFormat/>
    <w:uiPriority w:val="0"/>
    <w:pPr>
      <w:widowControl w:val="0"/>
      <w:spacing w:line="360" w:lineRule="auto"/>
      <w:ind w:firstLine="56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blStylePr w:type="firstRow">
      <w:rPr>
        <w:color w:val="auto"/>
      </w:rPr>
      <w:tblPr/>
      <w:tcPr>
        <w:tcBorders>
          <w:tl2br w:val="nil"/>
          <w:tr2bl w:val="nil"/>
        </w:tcBorders>
      </w:tcPr>
    </w:tblStylePr>
  </w:style>
  <w:style w:type="table" w:styleId="130">
    <w:name w:val="Table Professional"/>
    <w:basedOn w:val="86"/>
    <w:semiHidden/>
    <w:unhideWhenUsed/>
    <w:qFormat/>
    <w:uiPriority w:val="0"/>
    <w:pPr>
      <w:widowControl w:val="0"/>
      <w:spacing w:line="360" w:lineRule="auto"/>
      <w:ind w:firstLine="56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blPr/>
      <w:tcPr>
        <w:tcBorders>
          <w:tl2br w:val="nil"/>
          <w:tr2bl w:val="nil"/>
        </w:tcBorders>
        <w:shd w:val="solid" w:color="000000" w:fill="FFFFFF"/>
      </w:tcPr>
    </w:tblStylePr>
  </w:style>
  <w:style w:type="character" w:styleId="132">
    <w:name w:val="Strong"/>
    <w:qFormat/>
    <w:uiPriority w:val="0"/>
    <w:rPr>
      <w:b/>
      <w:bCs/>
    </w:rPr>
  </w:style>
  <w:style w:type="character" w:styleId="133">
    <w:name w:val="endnote reference"/>
    <w:qFormat/>
    <w:uiPriority w:val="0"/>
    <w:rPr>
      <w:vertAlign w:val="superscript"/>
    </w:rPr>
  </w:style>
  <w:style w:type="character" w:styleId="134">
    <w:name w:val="page number"/>
    <w:basedOn w:val="131"/>
    <w:qFormat/>
    <w:uiPriority w:val="0"/>
  </w:style>
  <w:style w:type="character" w:styleId="135">
    <w:name w:val="FollowedHyperlink"/>
    <w:qFormat/>
    <w:uiPriority w:val="99"/>
    <w:rPr>
      <w:color w:val="954F72"/>
      <w:sz w:val="24"/>
      <w:szCs w:val="24"/>
      <w:u w:val="single"/>
    </w:rPr>
  </w:style>
  <w:style w:type="character" w:styleId="136">
    <w:name w:val="Emphasis"/>
    <w:qFormat/>
    <w:uiPriority w:val="20"/>
    <w:rPr>
      <w:color w:val="CC0033"/>
    </w:rPr>
  </w:style>
  <w:style w:type="character" w:styleId="137">
    <w:name w:val="HTML Typewriter"/>
    <w:semiHidden/>
    <w:unhideWhenUsed/>
    <w:qFormat/>
    <w:uiPriority w:val="0"/>
    <w:rPr>
      <w:rFonts w:hint="default" w:ascii="Courier New" w:hAnsi="Courier New" w:eastAsia="Times New Roman" w:cs="Courier New"/>
      <w:sz w:val="24"/>
      <w:szCs w:val="24"/>
    </w:rPr>
  </w:style>
  <w:style w:type="character" w:styleId="138">
    <w:name w:val="Hyperlink"/>
    <w:qFormat/>
    <w:uiPriority w:val="99"/>
    <w:rPr>
      <w:color w:val="0563C1"/>
      <w:sz w:val="24"/>
      <w:szCs w:val="24"/>
      <w:u w:val="single"/>
    </w:rPr>
  </w:style>
  <w:style w:type="character" w:styleId="139">
    <w:name w:val="HTML Code"/>
    <w:qFormat/>
    <w:uiPriority w:val="0"/>
    <w:rPr>
      <w:rFonts w:ascii="Courier New" w:hAnsi="Courier New" w:eastAsia="仿宋_GB2312" w:cs="Courier New"/>
      <w:kern w:val="2"/>
      <w:sz w:val="20"/>
      <w:szCs w:val="20"/>
      <w:lang w:val="en-US" w:eastAsia="zh-CN" w:bidi="ar-SA"/>
    </w:rPr>
  </w:style>
  <w:style w:type="character" w:styleId="140">
    <w:name w:val="annotation reference"/>
    <w:qFormat/>
    <w:uiPriority w:val="99"/>
    <w:rPr>
      <w:sz w:val="21"/>
      <w:szCs w:val="21"/>
    </w:rPr>
  </w:style>
  <w:style w:type="character" w:styleId="141">
    <w:name w:val="footnote reference"/>
    <w:qFormat/>
    <w:uiPriority w:val="0"/>
    <w:rPr>
      <w:vertAlign w:val="superscript"/>
    </w:rPr>
  </w:style>
  <w:style w:type="character" w:styleId="142">
    <w:name w:val="HTML Keyboard"/>
    <w:semiHidden/>
    <w:unhideWhenUsed/>
    <w:qFormat/>
    <w:uiPriority w:val="0"/>
    <w:rPr>
      <w:rFonts w:hint="default" w:ascii="Courier New" w:hAnsi="Courier New" w:eastAsia="Times New Roman" w:cs="Courier New"/>
      <w:sz w:val="24"/>
      <w:szCs w:val="24"/>
    </w:rPr>
  </w:style>
  <w:style w:type="character" w:styleId="143">
    <w:name w:val="HTML Sample"/>
    <w:semiHidden/>
    <w:unhideWhenUsed/>
    <w:qFormat/>
    <w:uiPriority w:val="0"/>
    <w:rPr>
      <w:rFonts w:hint="default" w:ascii="Courier New" w:hAnsi="Courier New" w:eastAsia="Times New Roman" w:cs="Courier New"/>
    </w:rPr>
  </w:style>
  <w:style w:type="character" w:customStyle="1" w:styleId="144">
    <w:name w:val="标题 4 Char"/>
    <w:basedOn w:val="131"/>
    <w:link w:val="9"/>
    <w:qFormat/>
    <w:uiPriority w:val="0"/>
    <w:rPr>
      <w:rFonts w:ascii="Times New Roman" w:hAnsi="Times New Roman" w:eastAsia="宋体" w:cs="Times New Roman"/>
      <w:b/>
      <w:color w:val="FF6600"/>
      <w:sz w:val="24"/>
      <w:szCs w:val="24"/>
    </w:rPr>
  </w:style>
  <w:style w:type="character" w:customStyle="1" w:styleId="145">
    <w:name w:val="标题 1 Char"/>
    <w:basedOn w:val="131"/>
    <w:link w:val="5"/>
    <w:qFormat/>
    <w:uiPriority w:val="0"/>
    <w:rPr>
      <w:rFonts w:ascii="Times New Roman" w:hAnsi="Times New Roman" w:eastAsia="宋体" w:cs="Times New Roman"/>
      <w:szCs w:val="20"/>
    </w:rPr>
  </w:style>
  <w:style w:type="character" w:customStyle="1" w:styleId="146">
    <w:name w:val="正文缩进 Char"/>
    <w:link w:val="7"/>
    <w:qFormat/>
    <w:uiPriority w:val="0"/>
    <w:rPr>
      <w:rFonts w:ascii="Times New Roman" w:hAnsi="Times New Roman" w:eastAsia="宋体" w:cs="Times New Roman"/>
      <w:szCs w:val="20"/>
    </w:rPr>
  </w:style>
  <w:style w:type="character" w:customStyle="1" w:styleId="147">
    <w:name w:val="标题 2 Char"/>
    <w:basedOn w:val="131"/>
    <w:link w:val="6"/>
    <w:qFormat/>
    <w:uiPriority w:val="0"/>
    <w:rPr>
      <w:rFonts w:ascii="Times New Roman" w:hAnsi="Times New Roman" w:eastAsia="宋体" w:cs="Times New Roman"/>
      <w:sz w:val="24"/>
      <w:szCs w:val="20"/>
    </w:rPr>
  </w:style>
  <w:style w:type="character" w:customStyle="1" w:styleId="148">
    <w:name w:val="标题 3 Char"/>
    <w:basedOn w:val="131"/>
    <w:link w:val="8"/>
    <w:qFormat/>
    <w:uiPriority w:val="0"/>
    <w:rPr>
      <w:rFonts w:ascii="Times New Roman" w:hAnsi="Times New Roman" w:eastAsia="宋体" w:cs="Times New Roman"/>
      <w:b/>
      <w:bCs/>
      <w:sz w:val="32"/>
      <w:szCs w:val="32"/>
    </w:rPr>
  </w:style>
  <w:style w:type="character" w:customStyle="1" w:styleId="149">
    <w:name w:val="标题 5 Char"/>
    <w:basedOn w:val="131"/>
    <w:link w:val="10"/>
    <w:qFormat/>
    <w:uiPriority w:val="0"/>
    <w:rPr>
      <w:rFonts w:ascii="Times New Roman" w:hAnsi="Times New Roman" w:eastAsia="宋体" w:cs="Times New Roman"/>
      <w:b/>
      <w:bCs/>
      <w:sz w:val="28"/>
      <w:szCs w:val="28"/>
    </w:rPr>
  </w:style>
  <w:style w:type="character" w:customStyle="1" w:styleId="150">
    <w:name w:val="文档结构图 Char"/>
    <w:basedOn w:val="131"/>
    <w:link w:val="27"/>
    <w:qFormat/>
    <w:uiPriority w:val="99"/>
    <w:rPr>
      <w:rFonts w:ascii="Times New Roman" w:hAnsi="Times New Roman" w:eastAsia="宋体" w:cs="Times New Roman"/>
      <w:szCs w:val="20"/>
      <w:shd w:val="clear" w:color="auto" w:fill="000080"/>
    </w:rPr>
  </w:style>
  <w:style w:type="character" w:customStyle="1" w:styleId="151">
    <w:name w:val="批注文字 Char"/>
    <w:basedOn w:val="131"/>
    <w:link w:val="28"/>
    <w:qFormat/>
    <w:uiPriority w:val="99"/>
    <w:rPr>
      <w:rFonts w:ascii="Times New Roman" w:hAnsi="Times New Roman" w:eastAsia="宋体" w:cs="Times New Roman"/>
      <w:szCs w:val="20"/>
    </w:rPr>
  </w:style>
  <w:style w:type="character" w:customStyle="1" w:styleId="152">
    <w:name w:val="正文文本 3 Char"/>
    <w:basedOn w:val="131"/>
    <w:link w:val="31"/>
    <w:qFormat/>
    <w:uiPriority w:val="0"/>
    <w:rPr>
      <w:rFonts w:ascii="Times New Roman" w:hAnsi="Times New Roman" w:eastAsia="宋体" w:cs="Times New Roman"/>
      <w:sz w:val="16"/>
      <w:szCs w:val="16"/>
    </w:rPr>
  </w:style>
  <w:style w:type="character" w:customStyle="1" w:styleId="153">
    <w:name w:val="正文文本 Char"/>
    <w:basedOn w:val="131"/>
    <w:link w:val="34"/>
    <w:qFormat/>
    <w:uiPriority w:val="0"/>
    <w:rPr>
      <w:rFonts w:ascii="Times New Roman" w:hAnsi="Times New Roman" w:eastAsia="宋体" w:cs="Times New Roman"/>
      <w:sz w:val="24"/>
      <w:szCs w:val="20"/>
    </w:rPr>
  </w:style>
  <w:style w:type="character" w:customStyle="1" w:styleId="154">
    <w:name w:val="正文文本缩进 Char"/>
    <w:basedOn w:val="131"/>
    <w:link w:val="3"/>
    <w:qFormat/>
    <w:uiPriority w:val="0"/>
    <w:rPr>
      <w:rFonts w:ascii="宋体" w:hAnsi="Times New Roman" w:eastAsia="宋体" w:cs="Times New Roman"/>
      <w:color w:val="000000"/>
      <w:szCs w:val="20"/>
    </w:rPr>
  </w:style>
  <w:style w:type="character" w:customStyle="1" w:styleId="155">
    <w:name w:val="纯文本 Char"/>
    <w:basedOn w:val="131"/>
    <w:link w:val="44"/>
    <w:qFormat/>
    <w:uiPriority w:val="0"/>
    <w:rPr>
      <w:rFonts w:ascii="宋体" w:hAnsi="Courier New" w:eastAsia="宋体" w:cs="Times New Roman"/>
      <w:szCs w:val="20"/>
    </w:rPr>
  </w:style>
  <w:style w:type="character" w:customStyle="1" w:styleId="156">
    <w:name w:val="日期 Char"/>
    <w:basedOn w:val="131"/>
    <w:link w:val="49"/>
    <w:qFormat/>
    <w:uiPriority w:val="0"/>
    <w:rPr>
      <w:rFonts w:ascii="Times New Roman" w:hAnsi="Times New Roman" w:eastAsia="宋体" w:cs="Times New Roman"/>
      <w:sz w:val="28"/>
      <w:szCs w:val="20"/>
    </w:rPr>
  </w:style>
  <w:style w:type="character" w:customStyle="1" w:styleId="157">
    <w:name w:val="正文文本缩进 2 Char"/>
    <w:basedOn w:val="131"/>
    <w:link w:val="50"/>
    <w:qFormat/>
    <w:uiPriority w:val="0"/>
    <w:rPr>
      <w:rFonts w:ascii="Times New Roman" w:hAnsi="Times New Roman" w:eastAsia="宋体" w:cs="Times New Roman"/>
      <w:sz w:val="25"/>
      <w:szCs w:val="20"/>
    </w:rPr>
  </w:style>
  <w:style w:type="character" w:customStyle="1" w:styleId="158">
    <w:name w:val="批注框文本 Char"/>
    <w:basedOn w:val="131"/>
    <w:link w:val="53"/>
    <w:qFormat/>
    <w:uiPriority w:val="99"/>
    <w:rPr>
      <w:rFonts w:ascii="Times New Roman" w:hAnsi="Times New Roman" w:eastAsia="宋体" w:cs="Times New Roman"/>
      <w:sz w:val="18"/>
      <w:szCs w:val="18"/>
    </w:rPr>
  </w:style>
  <w:style w:type="character" w:customStyle="1" w:styleId="159">
    <w:name w:val="页脚 Char"/>
    <w:basedOn w:val="131"/>
    <w:link w:val="54"/>
    <w:qFormat/>
    <w:uiPriority w:val="0"/>
    <w:rPr>
      <w:rFonts w:ascii="Times New Roman" w:hAnsi="Times New Roman" w:eastAsia="宋体" w:cs="Times New Roman"/>
      <w:sz w:val="18"/>
      <w:szCs w:val="20"/>
    </w:rPr>
  </w:style>
  <w:style w:type="character" w:customStyle="1" w:styleId="160">
    <w:name w:val="页眉 Char"/>
    <w:basedOn w:val="131"/>
    <w:link w:val="56"/>
    <w:qFormat/>
    <w:uiPriority w:val="99"/>
    <w:rPr>
      <w:rFonts w:ascii="Times New Roman" w:hAnsi="Times New Roman" w:eastAsia="宋体" w:cs="Times New Roman"/>
      <w:sz w:val="18"/>
      <w:szCs w:val="20"/>
    </w:rPr>
  </w:style>
  <w:style w:type="character" w:customStyle="1" w:styleId="161">
    <w:name w:val="正文文本缩进 3 Char"/>
    <w:basedOn w:val="131"/>
    <w:link w:val="69"/>
    <w:qFormat/>
    <w:uiPriority w:val="0"/>
    <w:rPr>
      <w:rFonts w:ascii="Times New Roman" w:hAnsi="Times New Roman" w:eastAsia="宋体" w:cs="Times New Roman"/>
      <w:sz w:val="25"/>
      <w:szCs w:val="20"/>
    </w:rPr>
  </w:style>
  <w:style w:type="character" w:customStyle="1" w:styleId="162">
    <w:name w:val="正文文本 2 Char"/>
    <w:basedOn w:val="131"/>
    <w:link w:val="75"/>
    <w:qFormat/>
    <w:uiPriority w:val="0"/>
    <w:rPr>
      <w:rFonts w:ascii="Times New Roman" w:hAnsi="Times New Roman" w:eastAsia="宋体" w:cs="Times New Roman"/>
      <w:sz w:val="25"/>
      <w:szCs w:val="20"/>
    </w:rPr>
  </w:style>
  <w:style w:type="character" w:customStyle="1" w:styleId="163">
    <w:name w:val="标题 Char"/>
    <w:basedOn w:val="131"/>
    <w:link w:val="83"/>
    <w:qFormat/>
    <w:uiPriority w:val="0"/>
    <w:rPr>
      <w:rFonts w:ascii="Arial" w:hAnsi="Arial" w:eastAsia="宋体" w:cs="Arial"/>
      <w:b/>
      <w:bCs/>
      <w:sz w:val="24"/>
      <w:szCs w:val="32"/>
    </w:rPr>
  </w:style>
  <w:style w:type="character" w:customStyle="1" w:styleId="164">
    <w:name w:val="批注主题 Char"/>
    <w:basedOn w:val="151"/>
    <w:link w:val="84"/>
    <w:qFormat/>
    <w:uiPriority w:val="99"/>
    <w:rPr>
      <w:rFonts w:ascii="Times New Roman" w:hAnsi="Times New Roman" w:eastAsia="宋体" w:cs="Times New Roman"/>
      <w:b/>
      <w:bCs/>
      <w:szCs w:val="20"/>
    </w:rPr>
  </w:style>
  <w:style w:type="character" w:customStyle="1" w:styleId="165">
    <w:name w:val="正文首行缩进 Char"/>
    <w:basedOn w:val="153"/>
    <w:link w:val="85"/>
    <w:qFormat/>
    <w:uiPriority w:val="0"/>
    <w:rPr>
      <w:rFonts w:ascii="Times New Roman" w:hAnsi="Times New Roman" w:eastAsia="宋体" w:cs="Times New Roman"/>
      <w:sz w:val="24"/>
      <w:szCs w:val="20"/>
    </w:rPr>
  </w:style>
  <w:style w:type="character" w:customStyle="1" w:styleId="166">
    <w:name w:val="bds_nopic"/>
    <w:basedOn w:val="131"/>
    <w:qFormat/>
    <w:uiPriority w:val="0"/>
  </w:style>
  <w:style w:type="character" w:customStyle="1" w:styleId="167">
    <w:name w:val="报告表小段 Char"/>
    <w:link w:val="168"/>
    <w:qFormat/>
    <w:locked/>
    <w:uiPriority w:val="0"/>
    <w:rPr>
      <w:rFonts w:ascii="宋体" w:hAnsi="宋体" w:eastAsia="宋体"/>
      <w:bCs/>
      <w:sz w:val="24"/>
      <w:szCs w:val="24"/>
    </w:rPr>
  </w:style>
  <w:style w:type="paragraph" w:customStyle="1" w:styleId="168">
    <w:name w:val="报告表小段"/>
    <w:basedOn w:val="1"/>
    <w:link w:val="167"/>
    <w:qFormat/>
    <w:uiPriority w:val="0"/>
    <w:pPr>
      <w:spacing w:before="120" w:line="360" w:lineRule="auto"/>
      <w:ind w:firstLine="470" w:firstLineChars="196"/>
    </w:pPr>
    <w:rPr>
      <w:rFonts w:ascii="宋体" w:hAnsi="宋体" w:cstheme="minorBidi"/>
      <w:bCs/>
      <w:sz w:val="24"/>
      <w:szCs w:val="24"/>
    </w:rPr>
  </w:style>
  <w:style w:type="character" w:customStyle="1" w:styleId="169">
    <w:name w:val="君邦正文 Char2"/>
    <w:qFormat/>
    <w:uiPriority w:val="0"/>
    <w:rPr>
      <w:rFonts w:ascii="宋体" w:hAnsi="宋体" w:eastAsia="宋体" w:cs="宋体"/>
      <w:kern w:val="2"/>
      <w:sz w:val="24"/>
      <w:szCs w:val="24"/>
      <w:lang w:val="en-US" w:eastAsia="zh-CN" w:bidi="ar-SA"/>
    </w:rPr>
  </w:style>
  <w:style w:type="character" w:customStyle="1" w:styleId="170">
    <w:name w:val="样式 正文文本 2 + 黑色 Char"/>
    <w:link w:val="171"/>
    <w:qFormat/>
    <w:uiPriority w:val="0"/>
    <w:rPr>
      <w:rFonts w:ascii="宋体" w:hAnsi="宋体"/>
      <w:sz w:val="24"/>
      <w:szCs w:val="24"/>
    </w:rPr>
  </w:style>
  <w:style w:type="paragraph" w:customStyle="1" w:styleId="171">
    <w:name w:val="样式 正文文本 2 + 黑色"/>
    <w:basedOn w:val="75"/>
    <w:link w:val="170"/>
    <w:qFormat/>
    <w:uiPriority w:val="0"/>
    <w:pPr>
      <w:adjustRightInd w:val="0"/>
      <w:spacing w:before="60" w:after="60" w:line="500" w:lineRule="exact"/>
      <w:ind w:firstLine="480" w:firstLineChars="200"/>
      <w:textAlignment w:val="baseline"/>
    </w:pPr>
    <w:rPr>
      <w:rFonts w:ascii="宋体" w:hAnsi="宋体" w:eastAsiaTheme="minorEastAsia" w:cstheme="minorBidi"/>
      <w:sz w:val="24"/>
      <w:szCs w:val="24"/>
    </w:rPr>
  </w:style>
  <w:style w:type="character" w:customStyle="1" w:styleId="172">
    <w:name w:val="textfont1"/>
    <w:qFormat/>
    <w:uiPriority w:val="0"/>
    <w:rPr>
      <w:rFonts w:hint="default"/>
      <w:color w:val="000000"/>
      <w:sz w:val="22"/>
      <w:szCs w:val="22"/>
    </w:rPr>
  </w:style>
  <w:style w:type="character" w:customStyle="1" w:styleId="173">
    <w:name w:val="表格文字 Char Char"/>
    <w:link w:val="174"/>
    <w:qFormat/>
    <w:uiPriority w:val="0"/>
    <w:rPr>
      <w:rFonts w:eastAsia="宋体"/>
      <w:position w:val="-10"/>
    </w:rPr>
  </w:style>
  <w:style w:type="paragraph" w:customStyle="1" w:styleId="174">
    <w:name w:val="表格文字"/>
    <w:basedOn w:val="1"/>
    <w:link w:val="173"/>
    <w:qFormat/>
    <w:uiPriority w:val="0"/>
    <w:pPr>
      <w:tabs>
        <w:tab w:val="left" w:pos="-2848"/>
      </w:tabs>
      <w:jc w:val="center"/>
    </w:pPr>
    <w:rPr>
      <w:rFonts w:asciiTheme="minorHAnsi" w:hAnsiTheme="minorHAnsi" w:cstheme="minorBidi"/>
      <w:position w:val="-10"/>
      <w:szCs w:val="22"/>
    </w:rPr>
  </w:style>
  <w:style w:type="character" w:customStyle="1" w:styleId="175">
    <w:name w:val="apple-converted-space"/>
    <w:qFormat/>
    <w:uiPriority w:val="0"/>
  </w:style>
  <w:style w:type="character" w:customStyle="1" w:styleId="176">
    <w:name w:val="bds_nopic2"/>
    <w:basedOn w:val="131"/>
    <w:qFormat/>
    <w:uiPriority w:val="0"/>
  </w:style>
  <w:style w:type="character" w:customStyle="1" w:styleId="177">
    <w:name w:val="报告 Char Char1 Char"/>
    <w:link w:val="178"/>
    <w:qFormat/>
    <w:uiPriority w:val="0"/>
    <w:rPr>
      <w:sz w:val="24"/>
    </w:rPr>
  </w:style>
  <w:style w:type="paragraph" w:customStyle="1" w:styleId="178">
    <w:name w:val="报告 Char Char1"/>
    <w:basedOn w:val="1"/>
    <w:link w:val="177"/>
    <w:qFormat/>
    <w:uiPriority w:val="0"/>
    <w:pPr>
      <w:widowControl/>
      <w:overflowPunct w:val="0"/>
      <w:autoSpaceDE w:val="0"/>
      <w:autoSpaceDN w:val="0"/>
      <w:adjustRightInd w:val="0"/>
      <w:spacing w:before="120" w:after="120" w:line="400" w:lineRule="atLeast"/>
      <w:ind w:firstLine="200" w:firstLineChars="200"/>
      <w:textAlignment w:val="baseline"/>
    </w:pPr>
    <w:rPr>
      <w:rFonts w:asciiTheme="minorHAnsi" w:hAnsiTheme="minorHAnsi" w:eastAsiaTheme="minorEastAsia" w:cstheme="minorBidi"/>
      <w:sz w:val="24"/>
      <w:szCs w:val="22"/>
    </w:rPr>
  </w:style>
  <w:style w:type="character" w:customStyle="1" w:styleId="179">
    <w:name w:val="报告 Char Char"/>
    <w:qFormat/>
    <w:uiPriority w:val="0"/>
    <w:rPr>
      <w:rFonts w:eastAsia="宋体"/>
      <w:kern w:val="2"/>
      <w:sz w:val="24"/>
      <w:lang w:val="en-US" w:eastAsia="zh-CN" w:bidi="ar-SA"/>
    </w:rPr>
  </w:style>
  <w:style w:type="character" w:customStyle="1" w:styleId="180">
    <w:name w:val="报告 Char"/>
    <w:link w:val="181"/>
    <w:qFormat/>
    <w:uiPriority w:val="0"/>
    <w:rPr>
      <w:rFonts w:eastAsia="宋体"/>
      <w:sz w:val="24"/>
    </w:rPr>
  </w:style>
  <w:style w:type="paragraph" w:customStyle="1" w:styleId="181">
    <w:name w:val="报告"/>
    <w:basedOn w:val="1"/>
    <w:link w:val="180"/>
    <w:qFormat/>
    <w:uiPriority w:val="0"/>
    <w:pPr>
      <w:overflowPunct w:val="0"/>
      <w:autoSpaceDE w:val="0"/>
      <w:autoSpaceDN w:val="0"/>
      <w:adjustRightInd w:val="0"/>
      <w:spacing w:beforeLines="30" w:afterLines="30" w:line="400" w:lineRule="atLeast"/>
      <w:ind w:left="200" w:leftChars="200" w:firstLine="200" w:firstLineChars="200"/>
      <w:textAlignment w:val="baseline"/>
    </w:pPr>
    <w:rPr>
      <w:rFonts w:asciiTheme="minorHAnsi" w:hAnsiTheme="minorHAnsi" w:cstheme="minorBidi"/>
      <w:sz w:val="24"/>
      <w:szCs w:val="22"/>
    </w:rPr>
  </w:style>
  <w:style w:type="character" w:customStyle="1" w:styleId="182">
    <w:name w:val="报告文本 Char"/>
    <w:link w:val="183"/>
    <w:qFormat/>
    <w:uiPriority w:val="0"/>
    <w:rPr>
      <w:rFonts w:ascii="Calibri" w:hAnsi="Calibri"/>
      <w:sz w:val="24"/>
    </w:rPr>
  </w:style>
  <w:style w:type="paragraph" w:customStyle="1" w:styleId="183">
    <w:name w:val="报告文本"/>
    <w:basedOn w:val="1"/>
    <w:link w:val="182"/>
    <w:qFormat/>
    <w:uiPriority w:val="0"/>
    <w:pPr>
      <w:widowControl/>
      <w:spacing w:line="360" w:lineRule="auto"/>
      <w:ind w:firstLine="200" w:firstLineChars="200"/>
      <w:jc w:val="left"/>
    </w:pPr>
    <w:rPr>
      <w:rFonts w:ascii="Calibri" w:hAnsi="Calibri" w:eastAsiaTheme="minorEastAsia" w:cstheme="minorBidi"/>
      <w:sz w:val="24"/>
      <w:szCs w:val="22"/>
    </w:rPr>
  </w:style>
  <w:style w:type="character" w:customStyle="1" w:styleId="184">
    <w:name w:val="t_tag"/>
    <w:basedOn w:val="131"/>
    <w:qFormat/>
    <w:uiPriority w:val="0"/>
  </w:style>
  <w:style w:type="character" w:customStyle="1" w:styleId="185">
    <w:name w:val="l121"/>
    <w:qFormat/>
    <w:uiPriority w:val="0"/>
  </w:style>
  <w:style w:type="character" w:customStyle="1" w:styleId="186">
    <w:name w:val="表附注 Char Char"/>
    <w:link w:val="187"/>
    <w:qFormat/>
    <w:uiPriority w:val="0"/>
    <w:rPr>
      <w:rFonts w:ascii="Calibri" w:hAnsi="Calibri" w:eastAsia="黑体"/>
    </w:rPr>
  </w:style>
  <w:style w:type="paragraph" w:customStyle="1" w:styleId="187">
    <w:name w:val="表附注"/>
    <w:next w:val="183"/>
    <w:link w:val="186"/>
    <w:qFormat/>
    <w:uiPriority w:val="0"/>
    <w:pPr>
      <w:spacing w:after="200" w:line="276" w:lineRule="auto"/>
    </w:pPr>
    <w:rPr>
      <w:rFonts w:ascii="Calibri" w:hAnsi="Calibri" w:eastAsia="黑体" w:cstheme="minorBidi"/>
      <w:kern w:val="2"/>
      <w:sz w:val="21"/>
      <w:szCs w:val="22"/>
      <w:lang w:val="en-US" w:eastAsia="zh-CN" w:bidi="ar-SA"/>
    </w:rPr>
  </w:style>
  <w:style w:type="character" w:customStyle="1" w:styleId="188">
    <w:name w:val="bds_more1"/>
    <w:qFormat/>
    <w:uiPriority w:val="0"/>
    <w:rPr>
      <w:rFonts w:hint="eastAsia" w:ascii="宋体" w:hAnsi="宋体" w:eastAsia="宋体" w:cs="宋体"/>
      <w:sz w:val="24"/>
      <w:szCs w:val="24"/>
    </w:rPr>
  </w:style>
  <w:style w:type="character" w:customStyle="1" w:styleId="189">
    <w:name w:val="三级标题 Char"/>
    <w:link w:val="190"/>
    <w:qFormat/>
    <w:locked/>
    <w:uiPriority w:val="0"/>
    <w:rPr>
      <w:kern w:val="44"/>
      <w:sz w:val="24"/>
      <w:szCs w:val="24"/>
    </w:rPr>
  </w:style>
  <w:style w:type="paragraph" w:customStyle="1" w:styleId="190">
    <w:name w:val="三级标题"/>
    <w:basedOn w:val="1"/>
    <w:link w:val="189"/>
    <w:qFormat/>
    <w:uiPriority w:val="0"/>
    <w:pPr>
      <w:tabs>
        <w:tab w:val="left" w:pos="630"/>
      </w:tabs>
      <w:snapToGrid w:val="0"/>
      <w:spacing w:line="360" w:lineRule="auto"/>
      <w:ind w:firstLine="480" w:firstLineChars="200"/>
      <w:jc w:val="left"/>
      <w:outlineLvl w:val="0"/>
    </w:pPr>
    <w:rPr>
      <w:rFonts w:asciiTheme="minorHAnsi" w:hAnsiTheme="minorHAnsi" w:eastAsiaTheme="minorEastAsia" w:cstheme="minorBidi"/>
      <w:kern w:val="44"/>
      <w:sz w:val="24"/>
      <w:szCs w:val="24"/>
      <w:shd w:val="clear" w:color="auto" w:fill="FFFFFF"/>
    </w:rPr>
  </w:style>
  <w:style w:type="character" w:customStyle="1" w:styleId="191">
    <w:name w:val="Body Text Indent 3 Char"/>
    <w:qFormat/>
    <w:locked/>
    <w:uiPriority w:val="0"/>
    <w:rPr>
      <w:rFonts w:ascii="Times New Roman" w:hAnsi="Times New Roman" w:eastAsia="宋体" w:cs="Times New Roman"/>
      <w:sz w:val="20"/>
      <w:szCs w:val="20"/>
    </w:rPr>
  </w:style>
  <w:style w:type="character" w:customStyle="1" w:styleId="192">
    <w:name w:val="apple-style-span"/>
    <w:basedOn w:val="131"/>
    <w:qFormat/>
    <w:uiPriority w:val="0"/>
  </w:style>
  <w:style w:type="character" w:customStyle="1" w:styleId="193">
    <w:name w:val="表名 Char Char"/>
    <w:link w:val="194"/>
    <w:qFormat/>
    <w:uiPriority w:val="0"/>
    <w:rPr>
      <w:rFonts w:ascii="宋体" w:hAnsi="宋体" w:eastAsia="宋体"/>
      <w:b/>
      <w:bCs/>
      <w:sz w:val="24"/>
    </w:rPr>
  </w:style>
  <w:style w:type="paragraph" w:customStyle="1" w:styleId="194">
    <w:name w:val="表名 Char"/>
    <w:basedOn w:val="1"/>
    <w:link w:val="193"/>
    <w:qFormat/>
    <w:uiPriority w:val="0"/>
    <w:pPr>
      <w:adjustRightInd w:val="0"/>
      <w:spacing w:before="120" w:after="120" w:line="440" w:lineRule="atLeast"/>
      <w:jc w:val="center"/>
      <w:textAlignment w:val="baseline"/>
    </w:pPr>
    <w:rPr>
      <w:rFonts w:ascii="宋体" w:hAnsi="宋体" w:cstheme="minorBidi"/>
      <w:b/>
      <w:bCs/>
      <w:sz w:val="24"/>
      <w:szCs w:val="22"/>
    </w:rPr>
  </w:style>
  <w:style w:type="character" w:customStyle="1" w:styleId="195">
    <w:name w:val="s021"/>
    <w:qFormat/>
    <w:uiPriority w:val="0"/>
    <w:rPr>
      <w:color w:val="000000"/>
    </w:rPr>
  </w:style>
  <w:style w:type="character" w:customStyle="1" w:styleId="196">
    <w:name w:val="h31"/>
    <w:qFormat/>
    <w:uiPriority w:val="0"/>
    <w:rPr>
      <w:sz w:val="21"/>
      <w:szCs w:val="21"/>
    </w:rPr>
  </w:style>
  <w:style w:type="character" w:customStyle="1" w:styleId="197">
    <w:name w:val="bds_more"/>
    <w:basedOn w:val="131"/>
    <w:qFormat/>
    <w:uiPriority w:val="0"/>
  </w:style>
  <w:style w:type="character" w:customStyle="1" w:styleId="198">
    <w:name w:val="金光华文本正文 Char"/>
    <w:link w:val="199"/>
    <w:qFormat/>
    <w:uiPriority w:val="0"/>
    <w:rPr>
      <w:rFonts w:ascii="宋体" w:hAnsi="宋体" w:eastAsia="宋体"/>
      <w:sz w:val="24"/>
      <w:szCs w:val="24"/>
    </w:rPr>
  </w:style>
  <w:style w:type="paragraph" w:customStyle="1" w:styleId="199">
    <w:name w:val="金光华文本正文"/>
    <w:basedOn w:val="1"/>
    <w:link w:val="198"/>
    <w:qFormat/>
    <w:uiPriority w:val="0"/>
    <w:pPr>
      <w:widowControl/>
      <w:tabs>
        <w:tab w:val="left" w:pos="6840"/>
      </w:tabs>
      <w:spacing w:line="360" w:lineRule="auto"/>
      <w:ind w:firstLine="510"/>
      <w:jc w:val="left"/>
    </w:pPr>
    <w:rPr>
      <w:rFonts w:ascii="宋体" w:hAnsi="宋体" w:cstheme="minorBidi"/>
      <w:sz w:val="24"/>
      <w:szCs w:val="24"/>
    </w:rPr>
  </w:style>
  <w:style w:type="character" w:customStyle="1" w:styleId="200">
    <w:name w:val="postbody1"/>
    <w:qFormat/>
    <w:uiPriority w:val="0"/>
    <w:rPr>
      <w:sz w:val="14"/>
      <w:szCs w:val="14"/>
    </w:rPr>
  </w:style>
  <w:style w:type="character" w:customStyle="1" w:styleId="201">
    <w:name w:val="报告表 段 Char"/>
    <w:link w:val="202"/>
    <w:qFormat/>
    <w:uiPriority w:val="0"/>
    <w:rPr>
      <w:rFonts w:ascii="宋体" w:hAnsi="宋体" w:eastAsia="宋体"/>
      <w:bCs/>
      <w:sz w:val="24"/>
      <w:szCs w:val="24"/>
    </w:rPr>
  </w:style>
  <w:style w:type="paragraph" w:customStyle="1" w:styleId="202">
    <w:name w:val="报告表 段"/>
    <w:basedOn w:val="1"/>
    <w:link w:val="201"/>
    <w:qFormat/>
    <w:uiPriority w:val="0"/>
    <w:pPr>
      <w:spacing w:line="360" w:lineRule="auto"/>
      <w:ind w:firstLine="470" w:firstLineChars="196"/>
    </w:pPr>
    <w:rPr>
      <w:rFonts w:ascii="宋体" w:hAnsi="宋体" w:cstheme="minorBidi"/>
      <w:bCs/>
      <w:sz w:val="24"/>
      <w:szCs w:val="24"/>
    </w:rPr>
  </w:style>
  <w:style w:type="character" w:customStyle="1" w:styleId="203">
    <w:name w:val="样式 正文缩进s4标题4表正文正文非缩进图标题段1Body Text(ch)缩进ALT+Z特点四号正文不...2 Char"/>
    <w:link w:val="204"/>
    <w:qFormat/>
    <w:uiPriority w:val="0"/>
    <w:rPr>
      <w:rFonts w:ascii="宋体" w:eastAsia="仿宋_GB2312"/>
      <w:kern w:val="0"/>
      <w:sz w:val="24"/>
    </w:rPr>
  </w:style>
  <w:style w:type="paragraph" w:customStyle="1" w:styleId="204">
    <w:name w:val="样式 正文缩进s4标题4表正文正文非缩进图标题段1Body Text(ch)缩进ALT+Z特点四号正文不...2"/>
    <w:basedOn w:val="7"/>
    <w:link w:val="203"/>
    <w:qFormat/>
    <w:uiPriority w:val="0"/>
    <w:pPr>
      <w:ind w:firstLine="200" w:firstLineChars="200"/>
    </w:pPr>
    <w:rPr>
      <w:rFonts w:ascii="宋体" w:eastAsia="仿宋_GB2312" w:hAnsiTheme="minorHAnsi" w:cstheme="minorBidi"/>
      <w:kern w:val="0"/>
      <w:sz w:val="24"/>
      <w:szCs w:val="22"/>
    </w:rPr>
  </w:style>
  <w:style w:type="character" w:customStyle="1" w:styleId="205">
    <w:name w:val="正文加粗 Char"/>
    <w:link w:val="206"/>
    <w:qFormat/>
    <w:uiPriority w:val="0"/>
    <w:rPr>
      <w:rFonts w:ascii="Calibri" w:hAnsi="Calibri"/>
      <w:b/>
      <w:sz w:val="24"/>
    </w:rPr>
  </w:style>
  <w:style w:type="paragraph" w:customStyle="1" w:styleId="206">
    <w:name w:val="正文加粗"/>
    <w:next w:val="183"/>
    <w:link w:val="205"/>
    <w:qFormat/>
    <w:uiPriority w:val="0"/>
    <w:pPr>
      <w:spacing w:after="200" w:line="360" w:lineRule="auto"/>
      <w:ind w:firstLine="200" w:firstLineChars="200"/>
    </w:pPr>
    <w:rPr>
      <w:rFonts w:ascii="Calibri" w:hAnsi="Calibri" w:eastAsiaTheme="minorEastAsia" w:cstheme="minorBidi"/>
      <w:b/>
      <w:kern w:val="2"/>
      <w:sz w:val="24"/>
      <w:szCs w:val="22"/>
      <w:lang w:val="en-US" w:eastAsia="zh-CN" w:bidi="ar-SA"/>
    </w:rPr>
  </w:style>
  <w:style w:type="character" w:customStyle="1" w:styleId="207">
    <w:name w:val="在编文字 Char1"/>
    <w:qFormat/>
    <w:uiPriority w:val="0"/>
    <w:rPr>
      <w:rFonts w:eastAsia="宋体"/>
      <w:kern w:val="2"/>
      <w:sz w:val="24"/>
      <w:lang w:val="en-US" w:eastAsia="zh-CN" w:bidi="ar-SA"/>
    </w:rPr>
  </w:style>
  <w:style w:type="character" w:customStyle="1" w:styleId="208">
    <w:name w:val="报告表  段 Char"/>
    <w:link w:val="209"/>
    <w:qFormat/>
    <w:locked/>
    <w:uiPriority w:val="0"/>
    <w:rPr>
      <w:rFonts w:ascii="宋体" w:eastAsia="宋体"/>
      <w:sz w:val="24"/>
    </w:rPr>
  </w:style>
  <w:style w:type="paragraph" w:customStyle="1" w:styleId="209">
    <w:name w:val="报告表  段"/>
    <w:basedOn w:val="1"/>
    <w:link w:val="208"/>
    <w:qFormat/>
    <w:uiPriority w:val="0"/>
    <w:pPr>
      <w:adjustRightInd w:val="0"/>
      <w:spacing w:line="360" w:lineRule="auto"/>
      <w:ind w:firstLine="505"/>
      <w:textAlignment w:val="baseline"/>
    </w:pPr>
    <w:rPr>
      <w:rFonts w:ascii="宋体" w:hAnsiTheme="minorHAnsi" w:cstheme="minorBidi"/>
      <w:sz w:val="24"/>
      <w:szCs w:val="22"/>
    </w:rPr>
  </w:style>
  <w:style w:type="character" w:customStyle="1" w:styleId="210">
    <w:name w:val="标题 3 Char Char Char Char Char Char Char1"/>
    <w:qFormat/>
    <w:uiPriority w:val="0"/>
    <w:rPr>
      <w:rFonts w:eastAsia="宋体"/>
      <w:b/>
      <w:bCs/>
      <w:color w:val="000000"/>
      <w:kern w:val="2"/>
      <w:sz w:val="32"/>
      <w:szCs w:val="32"/>
      <w:lang w:val="en-US" w:eastAsia="zh-CN" w:bidi="ar-SA"/>
    </w:rPr>
  </w:style>
  <w:style w:type="character" w:customStyle="1" w:styleId="211">
    <w:name w:val="hottext1"/>
    <w:qFormat/>
    <w:uiPriority w:val="0"/>
    <w:rPr>
      <w:rFonts w:hint="eastAsia" w:ascii="宋体" w:hAnsi="宋体" w:eastAsia="宋体"/>
      <w:color w:val="333333"/>
      <w:sz w:val="20"/>
      <w:szCs w:val="20"/>
      <w:u w:val="none"/>
    </w:rPr>
  </w:style>
  <w:style w:type="character" w:customStyle="1" w:styleId="212">
    <w:name w:val="报告 Char1"/>
    <w:qFormat/>
    <w:uiPriority w:val="0"/>
    <w:rPr>
      <w:rFonts w:ascii="宋体" w:hAnsi="宋体" w:eastAsia="宋体"/>
      <w:b/>
      <w:sz w:val="24"/>
      <w:szCs w:val="24"/>
      <w:lang w:val="en-US" w:eastAsia="zh-CN" w:bidi="ar-SA"/>
    </w:rPr>
  </w:style>
  <w:style w:type="character" w:customStyle="1" w:styleId="213">
    <w:name w:val="A表名 Char"/>
    <w:qFormat/>
    <w:uiPriority w:val="0"/>
    <w:rPr>
      <w:rFonts w:ascii="Arial" w:hAnsi="Arial" w:eastAsia="黑体"/>
      <w:b/>
      <w:bCs/>
      <w:kern w:val="2"/>
      <w:sz w:val="24"/>
      <w:szCs w:val="24"/>
      <w:lang w:val="en-US" w:eastAsia="en-US" w:bidi="ar-SA"/>
    </w:rPr>
  </w:style>
  <w:style w:type="character" w:customStyle="1" w:styleId="214">
    <w:name w:val="bds_nopic1"/>
    <w:basedOn w:val="131"/>
    <w:qFormat/>
    <w:uiPriority w:val="0"/>
  </w:style>
  <w:style w:type="character" w:customStyle="1" w:styleId="215">
    <w:name w:val="title1"/>
    <w:qFormat/>
    <w:uiPriority w:val="0"/>
    <w:rPr>
      <w:rFonts w:hint="default" w:ascii="Verdana" w:hAnsi="Verdana"/>
      <w:b/>
      <w:bCs/>
      <w:color w:val="333333"/>
      <w:sz w:val="30"/>
      <w:szCs w:val="30"/>
    </w:rPr>
  </w:style>
  <w:style w:type="character" w:customStyle="1" w:styleId="216">
    <w:name w:val="bds_more3"/>
    <w:basedOn w:val="131"/>
    <w:qFormat/>
    <w:uiPriority w:val="0"/>
  </w:style>
  <w:style w:type="character" w:customStyle="1" w:styleId="217">
    <w:name w:val="报告表 小段 Char"/>
    <w:link w:val="218"/>
    <w:qFormat/>
    <w:uiPriority w:val="0"/>
    <w:rPr>
      <w:rFonts w:ascii="宋体" w:eastAsia="宋体"/>
      <w:bCs/>
      <w:sz w:val="24"/>
      <w:szCs w:val="24"/>
    </w:rPr>
  </w:style>
  <w:style w:type="paragraph" w:customStyle="1" w:styleId="218">
    <w:name w:val="报告表 小段"/>
    <w:basedOn w:val="1"/>
    <w:link w:val="217"/>
    <w:qFormat/>
    <w:uiPriority w:val="0"/>
    <w:pPr>
      <w:spacing w:before="120" w:line="360" w:lineRule="auto"/>
      <w:ind w:firstLine="470" w:firstLineChars="196"/>
    </w:pPr>
    <w:rPr>
      <w:rFonts w:ascii="宋体" w:hAnsiTheme="minorHAnsi" w:cstheme="minorBidi"/>
      <w:bCs/>
      <w:sz w:val="24"/>
      <w:szCs w:val="24"/>
    </w:rPr>
  </w:style>
  <w:style w:type="character" w:customStyle="1" w:styleId="219">
    <w:name w:val="宗兴正文 Char"/>
    <w:link w:val="220"/>
    <w:qFormat/>
    <w:uiPriority w:val="0"/>
    <w:rPr>
      <w:rFonts w:eastAsia="宋体"/>
      <w:sz w:val="24"/>
      <w:szCs w:val="24"/>
    </w:rPr>
  </w:style>
  <w:style w:type="paragraph" w:customStyle="1" w:styleId="220">
    <w:name w:val="宗兴正文"/>
    <w:basedOn w:val="1"/>
    <w:link w:val="219"/>
    <w:qFormat/>
    <w:uiPriority w:val="0"/>
    <w:pPr>
      <w:spacing w:before="93" w:after="93" w:line="360" w:lineRule="auto"/>
      <w:ind w:firstLine="480" w:firstLineChars="200"/>
      <w:jc w:val="left"/>
    </w:pPr>
    <w:rPr>
      <w:rFonts w:asciiTheme="minorHAnsi" w:hAnsiTheme="minorHAnsi" w:cstheme="minorBidi"/>
      <w:sz w:val="24"/>
      <w:szCs w:val="24"/>
    </w:rPr>
  </w:style>
  <w:style w:type="character" w:customStyle="1" w:styleId="221">
    <w:name w:val="报告 Char Char Char Char"/>
    <w:link w:val="222"/>
    <w:qFormat/>
    <w:uiPriority w:val="0"/>
    <w:rPr>
      <w:rFonts w:ascii="宋体" w:hAnsi="宋体" w:eastAsia="宋体"/>
      <w:sz w:val="28"/>
      <w:szCs w:val="24"/>
    </w:rPr>
  </w:style>
  <w:style w:type="paragraph" w:customStyle="1" w:styleId="222">
    <w:name w:val="报告 Char Char Char"/>
    <w:basedOn w:val="1"/>
    <w:link w:val="221"/>
    <w:qFormat/>
    <w:uiPriority w:val="0"/>
    <w:pPr>
      <w:overflowPunct w:val="0"/>
      <w:autoSpaceDE w:val="0"/>
      <w:autoSpaceDN w:val="0"/>
      <w:adjustRightInd w:val="0"/>
      <w:spacing w:before="120" w:after="120" w:line="460" w:lineRule="exact"/>
      <w:ind w:firstLine="560" w:firstLineChars="200"/>
      <w:textAlignment w:val="baseline"/>
    </w:pPr>
    <w:rPr>
      <w:rFonts w:ascii="宋体" w:hAnsi="宋体" w:cstheme="minorBidi"/>
      <w:sz w:val="28"/>
      <w:szCs w:val="24"/>
    </w:rPr>
  </w:style>
  <w:style w:type="character" w:customStyle="1" w:styleId="223">
    <w:name w:val="样式 左侧:  0.99 厘米 Char"/>
    <w:link w:val="224"/>
    <w:qFormat/>
    <w:uiPriority w:val="0"/>
    <w:rPr>
      <w:rFonts w:ascii="宋体" w:eastAsia="宋体" w:cs="宋体"/>
      <w:sz w:val="28"/>
    </w:rPr>
  </w:style>
  <w:style w:type="paragraph" w:customStyle="1" w:styleId="224">
    <w:name w:val="样式 左侧:  0.99 厘米"/>
    <w:basedOn w:val="1"/>
    <w:link w:val="223"/>
    <w:qFormat/>
    <w:uiPriority w:val="0"/>
    <w:pPr>
      <w:adjustRightInd w:val="0"/>
      <w:spacing w:line="360" w:lineRule="auto"/>
      <w:jc w:val="left"/>
      <w:textAlignment w:val="baseline"/>
    </w:pPr>
    <w:rPr>
      <w:rFonts w:ascii="宋体" w:cs="宋体" w:hAnsiTheme="minorHAnsi"/>
      <w:sz w:val="28"/>
      <w:szCs w:val="22"/>
    </w:rPr>
  </w:style>
  <w:style w:type="character" w:customStyle="1" w:styleId="225">
    <w:name w:val="bds_more4"/>
    <w:basedOn w:val="131"/>
    <w:qFormat/>
    <w:uiPriority w:val="0"/>
  </w:style>
  <w:style w:type="character" w:customStyle="1" w:styleId="226">
    <w:name w:val="Char Char3"/>
    <w:qFormat/>
    <w:uiPriority w:val="0"/>
    <w:rPr>
      <w:rFonts w:eastAsia="宋体"/>
      <w:kern w:val="2"/>
      <w:sz w:val="24"/>
      <w:lang w:val="en-US" w:eastAsia="zh-CN" w:bidi="ar-SA"/>
    </w:rPr>
  </w:style>
  <w:style w:type="character" w:customStyle="1" w:styleId="227">
    <w:name w:val="bds_more2"/>
    <w:basedOn w:val="131"/>
    <w:qFormat/>
    <w:uiPriority w:val="0"/>
  </w:style>
  <w:style w:type="character" w:customStyle="1" w:styleId="228">
    <w:name w:val="1 Char"/>
    <w:link w:val="229"/>
    <w:qFormat/>
    <w:uiPriority w:val="0"/>
    <w:rPr>
      <w:rFonts w:ascii="仿宋_GB2312" w:eastAsia="仿宋_GB2312"/>
      <w:sz w:val="24"/>
      <w:szCs w:val="24"/>
    </w:rPr>
  </w:style>
  <w:style w:type="paragraph" w:customStyle="1" w:styleId="229">
    <w:name w:val="1"/>
    <w:basedOn w:val="1"/>
    <w:next w:val="3"/>
    <w:link w:val="228"/>
    <w:qFormat/>
    <w:uiPriority w:val="0"/>
    <w:pPr>
      <w:spacing w:line="360" w:lineRule="auto"/>
      <w:ind w:firstLine="480" w:firstLineChars="200"/>
    </w:pPr>
    <w:rPr>
      <w:rFonts w:ascii="仿宋_GB2312" w:eastAsia="仿宋_GB2312" w:hAnsiTheme="minorHAnsi" w:cstheme="minorBidi"/>
      <w:sz w:val="24"/>
      <w:szCs w:val="24"/>
    </w:rPr>
  </w:style>
  <w:style w:type="paragraph" w:customStyle="1" w:styleId="230">
    <w:name w:val="Char"/>
    <w:basedOn w:val="1"/>
    <w:qFormat/>
    <w:uiPriority w:val="0"/>
    <w:rPr>
      <w:sz w:val="24"/>
      <w:szCs w:val="24"/>
    </w:rPr>
  </w:style>
  <w:style w:type="paragraph" w:customStyle="1" w:styleId="231">
    <w:name w:val="附录二级条标题"/>
    <w:basedOn w:val="232"/>
    <w:next w:val="1"/>
    <w:qFormat/>
    <w:uiPriority w:val="0"/>
    <w:pPr>
      <w:outlineLvl w:val="3"/>
    </w:pPr>
  </w:style>
  <w:style w:type="paragraph" w:customStyle="1" w:styleId="232">
    <w:name w:val="附录一级条标题"/>
    <w:basedOn w:val="1"/>
    <w:next w:val="1"/>
    <w:qFormat/>
    <w:uiPriority w:val="0"/>
    <w:pPr>
      <w:widowControl/>
      <w:wordWrap w:val="0"/>
      <w:overflowPunct w:val="0"/>
      <w:autoSpaceDE w:val="0"/>
      <w:autoSpaceDN w:val="0"/>
      <w:textAlignment w:val="baseline"/>
      <w:outlineLvl w:val="2"/>
    </w:pPr>
    <w:rPr>
      <w:rFonts w:ascii="黑体" w:eastAsia="黑体"/>
      <w:kern w:val="21"/>
    </w:rPr>
  </w:style>
  <w:style w:type="paragraph" w:customStyle="1" w:styleId="233">
    <w:name w:val="样式 首行缩进:  2 字符2"/>
    <w:basedOn w:val="1"/>
    <w:qFormat/>
    <w:uiPriority w:val="0"/>
    <w:pPr>
      <w:widowControl/>
      <w:spacing w:line="360" w:lineRule="auto"/>
      <w:ind w:firstLine="200" w:firstLineChars="200"/>
      <w:jc w:val="left"/>
    </w:pPr>
    <w:rPr>
      <w:rFonts w:cs="PMingLiU"/>
      <w:kern w:val="0"/>
      <w:sz w:val="24"/>
    </w:rPr>
  </w:style>
  <w:style w:type="paragraph" w:customStyle="1" w:styleId="234">
    <w:name w:val="Char Char Char Char Char"/>
    <w:basedOn w:val="1"/>
    <w:qFormat/>
    <w:uiPriority w:val="0"/>
    <w:rPr>
      <w:rFonts w:eastAsia="仿宋_GB2312"/>
      <w:b/>
      <w:sz w:val="24"/>
      <w:szCs w:val="24"/>
    </w:rPr>
  </w:style>
  <w:style w:type="paragraph" w:customStyle="1" w:styleId="235">
    <w:name w:val="Char Char Char Char Char Char Char"/>
    <w:basedOn w:val="1"/>
    <w:qFormat/>
    <w:uiPriority w:val="0"/>
    <w:rPr>
      <w:szCs w:val="24"/>
    </w:rPr>
  </w:style>
  <w:style w:type="paragraph" w:customStyle="1" w:styleId="236">
    <w:name w:val="样式（ 表格 ）"/>
    <w:basedOn w:val="1"/>
    <w:qFormat/>
    <w:uiPriority w:val="0"/>
    <w:pPr>
      <w:adjustRightInd w:val="0"/>
      <w:snapToGrid w:val="0"/>
      <w:spacing w:before="100" w:beforeAutospacing="1" w:after="100" w:afterAutospacing="1"/>
      <w:jc w:val="center"/>
    </w:pPr>
    <w:rPr>
      <w:rFonts w:ascii="Arial" w:hAnsi="Arial"/>
      <w:snapToGrid w:val="0"/>
      <w:color w:val="0000FF"/>
      <w:kern w:val="0"/>
    </w:rPr>
  </w:style>
  <w:style w:type="paragraph" w:customStyle="1" w:styleId="237">
    <w:name w:val="实施日期"/>
    <w:basedOn w:val="1"/>
    <w:qFormat/>
    <w:uiPriority w:val="0"/>
    <w:pPr>
      <w:framePr w:w="4000" w:h="473" w:hRule="exact" w:vSpace="180" w:wrap="around" w:vAnchor="margin" w:hAnchor="margin" w:xAlign="right" w:y="13511" w:anchorLock="1"/>
      <w:widowControl/>
      <w:jc w:val="right"/>
    </w:pPr>
    <w:rPr>
      <w:rFonts w:eastAsia="黑体"/>
      <w:kern w:val="0"/>
      <w:sz w:val="28"/>
    </w:rPr>
  </w:style>
  <w:style w:type="paragraph" w:customStyle="1" w:styleId="238">
    <w:name w:val="text"/>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239">
    <w:name w:val="样式1"/>
    <w:basedOn w:val="5"/>
    <w:link w:val="338"/>
    <w:qFormat/>
    <w:uiPriority w:val="0"/>
    <w:pPr>
      <w:jc w:val="left"/>
    </w:pPr>
    <w:rPr>
      <w:rFonts w:ascii="宋体" w:hAnsi="宋体"/>
      <w:b/>
      <w:bCs/>
      <w:sz w:val="28"/>
    </w:rPr>
  </w:style>
  <w:style w:type="paragraph" w:customStyle="1" w:styleId="240">
    <w:name w:val="基准页脚样式"/>
    <w:basedOn w:val="34"/>
    <w:qFormat/>
    <w:uiPriority w:val="0"/>
    <w:rPr>
      <w:rFonts w:ascii="Garamond" w:hAnsi="Garamond"/>
      <w:sz w:val="18"/>
      <w:szCs w:val="18"/>
    </w:rPr>
  </w:style>
  <w:style w:type="paragraph" w:customStyle="1" w:styleId="241">
    <w:name w:val="中文报告书样式"/>
    <w:basedOn w:val="1"/>
    <w:qFormat/>
    <w:uiPriority w:val="0"/>
    <w:pPr>
      <w:adjustRightInd w:val="0"/>
      <w:spacing w:line="480" w:lineRule="atLeast"/>
      <w:ind w:firstLine="482"/>
      <w:textAlignment w:val="baseline"/>
    </w:pPr>
    <w:rPr>
      <w:kern w:val="24"/>
      <w:sz w:val="24"/>
    </w:rPr>
  </w:style>
  <w:style w:type="paragraph" w:customStyle="1" w:styleId="242">
    <w:name w:val="标题三"/>
    <w:basedOn w:val="8"/>
    <w:next w:val="1"/>
    <w:qFormat/>
    <w:uiPriority w:val="0"/>
    <w:pPr>
      <w:keepLines w:val="0"/>
      <w:autoSpaceDE w:val="0"/>
      <w:autoSpaceDN w:val="0"/>
      <w:adjustRightInd w:val="0"/>
      <w:spacing w:before="0" w:after="0" w:line="360" w:lineRule="auto"/>
      <w:ind w:firstLine="510"/>
      <w:jc w:val="left"/>
      <w:textAlignment w:val="baseline"/>
    </w:pPr>
    <w:rPr>
      <w:rFonts w:ascii="黑体" w:eastAsia="黑体" w:cs="黑体"/>
      <w:sz w:val="24"/>
      <w:szCs w:val="24"/>
    </w:rPr>
  </w:style>
  <w:style w:type="paragraph" w:customStyle="1" w:styleId="243">
    <w:name w:val="Char Char Char Char"/>
    <w:basedOn w:val="1"/>
    <w:qFormat/>
    <w:uiPriority w:val="0"/>
    <w:rPr>
      <w:sz w:val="24"/>
      <w:szCs w:val="24"/>
    </w:rPr>
  </w:style>
  <w:style w:type="paragraph" w:customStyle="1" w:styleId="244">
    <w:name w:val="CM47"/>
    <w:basedOn w:val="1"/>
    <w:next w:val="1"/>
    <w:qFormat/>
    <w:uiPriority w:val="0"/>
    <w:pPr>
      <w:autoSpaceDE w:val="0"/>
      <w:autoSpaceDN w:val="0"/>
      <w:adjustRightInd w:val="0"/>
      <w:spacing w:line="438" w:lineRule="atLeast"/>
      <w:jc w:val="left"/>
    </w:pPr>
    <w:rPr>
      <w:rFonts w:ascii="宋体" w:hAnsi="Calibri"/>
      <w:kern w:val="0"/>
      <w:sz w:val="24"/>
      <w:szCs w:val="24"/>
    </w:rPr>
  </w:style>
  <w:style w:type="paragraph" w:customStyle="1" w:styleId="24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46">
    <w:name w:val="Default"/>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247">
    <w:name w:val="样式2"/>
    <w:basedOn w:val="5"/>
    <w:qFormat/>
    <w:uiPriority w:val="0"/>
    <w:pPr>
      <w:adjustRightInd w:val="0"/>
      <w:snapToGrid w:val="0"/>
      <w:spacing w:line="360" w:lineRule="auto"/>
      <w:ind w:left="-34" w:leftChars="-135" w:hanging="101" w:hangingChars="101"/>
      <w:jc w:val="both"/>
    </w:pPr>
    <w:rPr>
      <w:rFonts w:ascii="宋体" w:hAnsi="宋体" w:cs="宋体"/>
      <w:b/>
      <w:sz w:val="28"/>
      <w:szCs w:val="28"/>
    </w:rPr>
  </w:style>
  <w:style w:type="paragraph" w:customStyle="1" w:styleId="248">
    <w:name w:val="表名"/>
    <w:basedOn w:val="1"/>
    <w:qFormat/>
    <w:uiPriority w:val="0"/>
    <w:pPr>
      <w:adjustRightInd w:val="0"/>
      <w:spacing w:beforeLines="30" w:afterLines="30" w:line="400" w:lineRule="atLeast"/>
      <w:ind w:firstLine="425"/>
      <w:jc w:val="center"/>
      <w:textAlignment w:val="baseline"/>
    </w:pPr>
    <w:rPr>
      <w:rFonts w:eastAsia="黑体"/>
      <w:kern w:val="0"/>
      <w:sz w:val="24"/>
    </w:rPr>
  </w:style>
  <w:style w:type="paragraph" w:customStyle="1" w:styleId="249">
    <w:name w:val="Char Char Char Char Char Char"/>
    <w:basedOn w:val="1"/>
    <w:qFormat/>
    <w:uiPriority w:val="0"/>
    <w:rPr>
      <w:sz w:val="24"/>
      <w:szCs w:val="24"/>
    </w:rPr>
  </w:style>
  <w:style w:type="paragraph" w:customStyle="1" w:styleId="250">
    <w:name w:val="Char Char"/>
    <w:basedOn w:val="1"/>
    <w:qFormat/>
    <w:uiPriority w:val="0"/>
    <w:rPr>
      <w:rFonts w:eastAsia="仿宋_GB2312"/>
      <w:b/>
      <w:sz w:val="24"/>
      <w:szCs w:val="24"/>
    </w:rPr>
  </w:style>
  <w:style w:type="paragraph" w:customStyle="1" w:styleId="251">
    <w:name w:val="封面正标题"/>
    <w:basedOn w:val="34"/>
    <w:next w:val="34"/>
    <w:qFormat/>
    <w:uiPriority w:val="0"/>
    <w:pPr>
      <w:spacing w:after="120"/>
      <w:jc w:val="left"/>
    </w:pPr>
    <w:rPr>
      <w:sz w:val="72"/>
      <w:szCs w:val="24"/>
    </w:rPr>
  </w:style>
  <w:style w:type="paragraph" w:customStyle="1" w:styleId="252">
    <w:name w:val="样式 首行缩进:  2.5 字符"/>
    <w:basedOn w:val="85"/>
    <w:qFormat/>
    <w:uiPriority w:val="0"/>
    <w:pPr>
      <w:spacing w:line="360" w:lineRule="auto"/>
      <w:ind w:firstLine="200" w:firstLineChars="200"/>
    </w:pPr>
    <w:rPr>
      <w:rFonts w:cs="宋体"/>
      <w:sz w:val="24"/>
    </w:rPr>
  </w:style>
  <w:style w:type="paragraph" w:customStyle="1" w:styleId="253">
    <w:name w:val="图表脚注"/>
    <w:next w:val="1"/>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254">
    <w:name w:val="Char Char Char Char2"/>
    <w:basedOn w:val="1"/>
    <w:qFormat/>
    <w:uiPriority w:val="0"/>
    <w:pPr>
      <w:widowControl/>
      <w:tabs>
        <w:tab w:val="left" w:pos="432"/>
      </w:tabs>
      <w:spacing w:beforeLines="50" w:line="480" w:lineRule="exact"/>
      <w:ind w:left="432" w:hanging="432"/>
      <w:jc w:val="left"/>
    </w:pPr>
    <w:rPr>
      <w:rFonts w:ascii="Verdana" w:hAnsi="Verdana" w:eastAsia="仿宋_GB2312"/>
      <w:kern w:val="0"/>
      <w:sz w:val="28"/>
      <w:lang w:eastAsia="en-US"/>
    </w:rPr>
  </w:style>
  <w:style w:type="paragraph" w:customStyle="1" w:styleId="255">
    <w:name w:val="2"/>
    <w:basedOn w:val="1"/>
    <w:next w:val="7"/>
    <w:qFormat/>
    <w:uiPriority w:val="99"/>
    <w:pPr>
      <w:ind w:firstLine="420"/>
    </w:pPr>
  </w:style>
  <w:style w:type="paragraph" w:customStyle="1" w:styleId="256">
    <w:name w:val="样式 列表 + 左侧:  0 厘米 悬挂缩进: 2 字符1"/>
    <w:basedOn w:val="65"/>
    <w:qFormat/>
    <w:uiPriority w:val="0"/>
    <w:pPr>
      <w:widowControl/>
      <w:ind w:left="0" w:firstLine="0" w:firstLineChars="0"/>
      <w:jc w:val="left"/>
    </w:pPr>
    <w:rPr>
      <w:rFonts w:cs="PMingLiU"/>
      <w:kern w:val="0"/>
      <w:szCs w:val="20"/>
    </w:rPr>
  </w:style>
  <w:style w:type="paragraph" w:customStyle="1" w:styleId="257">
    <w:name w:val="样式 正文缩进s4标题4表正文正文非缩进图标题段1Body Text(ch)缩进ALT+Z特点四号正文不...3"/>
    <w:basedOn w:val="7"/>
    <w:qFormat/>
    <w:uiPriority w:val="0"/>
    <w:pPr>
      <w:ind w:firstLine="200" w:firstLineChars="200"/>
    </w:pPr>
    <w:rPr>
      <w:rFonts w:ascii="宋体" w:eastAsia="仿宋_GB2312" w:cs="宋体"/>
      <w:kern w:val="0"/>
      <w:sz w:val="24"/>
    </w:rPr>
  </w:style>
  <w:style w:type="paragraph" w:customStyle="1" w:styleId="258">
    <w:name w:val="p0"/>
    <w:basedOn w:val="1"/>
    <w:qFormat/>
    <w:uiPriority w:val="0"/>
    <w:pPr>
      <w:widowControl/>
    </w:pPr>
    <w:rPr>
      <w:kern w:val="0"/>
    </w:rPr>
  </w:style>
  <w:style w:type="paragraph" w:customStyle="1" w:styleId="259">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rPr>
  </w:style>
  <w:style w:type="paragraph" w:customStyle="1" w:styleId="260">
    <w:name w:val="表格"/>
    <w:basedOn w:val="1"/>
    <w:next w:val="1"/>
    <w:link w:val="373"/>
    <w:qFormat/>
    <w:uiPriority w:val="0"/>
    <w:pPr>
      <w:adjustRightInd w:val="0"/>
      <w:snapToGrid w:val="0"/>
      <w:jc w:val="center"/>
      <w:textAlignment w:val="baseline"/>
    </w:pPr>
    <w:rPr>
      <w:rFonts w:ascii="宋体"/>
      <w:spacing w:val="4"/>
      <w:w w:val="90"/>
      <w:sz w:val="24"/>
      <w:szCs w:val="24"/>
    </w:rPr>
  </w:style>
  <w:style w:type="paragraph" w:customStyle="1" w:styleId="261">
    <w:name w:val="表头"/>
    <w:basedOn w:val="1"/>
    <w:link w:val="351"/>
    <w:qFormat/>
    <w:uiPriority w:val="0"/>
    <w:pPr>
      <w:adjustRightInd w:val="0"/>
      <w:snapToGrid w:val="0"/>
      <w:spacing w:line="360" w:lineRule="auto"/>
      <w:jc w:val="center"/>
      <w:textAlignment w:val="baseline"/>
    </w:pPr>
    <w:rPr>
      <w:rFonts w:ascii="楷体_GB2312" w:eastAsia="楷体_GB2312"/>
      <w:b/>
      <w:snapToGrid w:val="0"/>
      <w:spacing w:val="4"/>
      <w:kern w:val="0"/>
      <w:sz w:val="28"/>
      <w:szCs w:val="28"/>
    </w:rPr>
  </w:style>
  <w:style w:type="paragraph" w:customStyle="1" w:styleId="262">
    <w:name w:val="样式 报告 + 首行缩进:  2 字符 段前: 0.3 行 段后: 0.3 行 Char"/>
    <w:basedOn w:val="1"/>
    <w:qFormat/>
    <w:uiPriority w:val="0"/>
    <w:pPr>
      <w:overflowPunct w:val="0"/>
      <w:autoSpaceDE w:val="0"/>
      <w:autoSpaceDN w:val="0"/>
      <w:adjustRightInd w:val="0"/>
      <w:spacing w:beforeLines="30" w:afterLines="30" w:line="360" w:lineRule="auto"/>
      <w:ind w:firstLine="200" w:firstLineChars="200"/>
      <w:textAlignment w:val="baseline"/>
    </w:pPr>
    <w:rPr>
      <w:rFonts w:cs="PMingLiU"/>
      <w:kern w:val="0"/>
      <w:sz w:val="24"/>
    </w:rPr>
  </w:style>
  <w:style w:type="paragraph" w:customStyle="1" w:styleId="263">
    <w:name w:val="无间隔1"/>
    <w:basedOn w:val="6"/>
    <w:qFormat/>
    <w:uiPriority w:val="0"/>
    <w:pPr>
      <w:keepNext w:val="0"/>
      <w:spacing w:before="440" w:after="440" w:line="400" w:lineRule="exact"/>
      <w:jc w:val="both"/>
    </w:pPr>
    <w:rPr>
      <w:b/>
      <w:bCs/>
      <w:color w:val="000000"/>
      <w:sz w:val="28"/>
      <w:szCs w:val="32"/>
    </w:rPr>
  </w:style>
  <w:style w:type="paragraph" w:customStyle="1" w:styleId="264">
    <w:name w:val="样式 正文文本缩进 3 + 左侧:  2 字符"/>
    <w:basedOn w:val="69"/>
    <w:qFormat/>
    <w:uiPriority w:val="0"/>
    <w:pPr>
      <w:widowControl/>
      <w:snapToGrid/>
      <w:spacing w:after="120"/>
      <w:ind w:firstLine="200" w:firstLineChars="200"/>
      <w:jc w:val="left"/>
    </w:pPr>
    <w:rPr>
      <w:rFonts w:cs="PMingLiU"/>
      <w:kern w:val="0"/>
      <w:sz w:val="24"/>
    </w:rPr>
  </w:style>
  <w:style w:type="paragraph" w:customStyle="1" w:styleId="265">
    <w:name w:val="样式 方正仿宋_GBK 三号 行距: 固定值 28 磅"/>
    <w:basedOn w:val="1"/>
    <w:qFormat/>
    <w:uiPriority w:val="0"/>
    <w:pPr>
      <w:spacing w:line="360" w:lineRule="auto"/>
      <w:ind w:firstLine="200" w:firstLineChars="200"/>
      <w:jc w:val="left"/>
    </w:pPr>
    <w:rPr>
      <w:rFonts w:ascii="方正仿宋_GBK" w:hAnsi="方正仿宋_GBK" w:cs="宋体"/>
      <w:sz w:val="28"/>
    </w:rPr>
  </w:style>
  <w:style w:type="paragraph" w:customStyle="1" w:styleId="266">
    <w:name w:val="表格 32"/>
    <w:basedOn w:val="1"/>
    <w:qFormat/>
    <w:uiPriority w:val="0"/>
    <w:pPr>
      <w:autoSpaceDE w:val="0"/>
      <w:autoSpaceDN w:val="0"/>
      <w:adjustRightInd w:val="0"/>
      <w:jc w:val="center"/>
      <w:textAlignment w:val="baseline"/>
    </w:pPr>
    <w:rPr>
      <w:rFonts w:ascii="宋体" w:hAnsi="Impact"/>
      <w:kern w:val="24"/>
      <w:sz w:val="24"/>
    </w:rPr>
  </w:style>
  <w:style w:type="paragraph" w:customStyle="1" w:styleId="267">
    <w:name w:val="附录图标题"/>
    <w:next w:val="1"/>
    <w:qFormat/>
    <w:uiPriority w:val="0"/>
    <w:pPr>
      <w:tabs>
        <w:tab w:val="left" w:pos="360"/>
      </w:tabs>
      <w:jc w:val="center"/>
    </w:pPr>
    <w:rPr>
      <w:rFonts w:ascii="黑体" w:hAnsi="Times New Roman" w:eastAsia="黑体" w:cs="Times New Roman"/>
      <w:sz w:val="21"/>
      <w:lang w:val="en-US" w:eastAsia="zh-CN" w:bidi="ar-SA"/>
    </w:rPr>
  </w:style>
  <w:style w:type="paragraph" w:customStyle="1" w:styleId="268">
    <w:name w:val="君邦正文"/>
    <w:qFormat/>
    <w:uiPriority w:val="0"/>
    <w:pPr>
      <w:spacing w:after="60" w:line="360" w:lineRule="auto"/>
      <w:ind w:firstLine="480" w:firstLineChars="200"/>
      <w:jc w:val="both"/>
    </w:pPr>
    <w:rPr>
      <w:rFonts w:ascii="Times New Roman" w:hAnsi="Times New Roman" w:eastAsia="宋体" w:cs="Times New Roman"/>
      <w:sz w:val="24"/>
      <w:lang w:val="en-US" w:eastAsia="zh-CN" w:bidi="ar-SA"/>
    </w:rPr>
  </w:style>
  <w:style w:type="paragraph" w:customStyle="1" w:styleId="269">
    <w:name w:val="新表项"/>
    <w:basedOn w:val="1"/>
    <w:qFormat/>
    <w:uiPriority w:val="0"/>
    <w:pPr>
      <w:adjustRightInd w:val="0"/>
      <w:spacing w:before="60" w:line="336" w:lineRule="auto"/>
      <w:ind w:firstLine="505"/>
      <w:textAlignment w:val="baseline"/>
    </w:pPr>
    <w:rPr>
      <w:rFonts w:ascii="宋体"/>
      <w:kern w:val="0"/>
      <w:sz w:val="24"/>
    </w:rPr>
  </w:style>
  <w:style w:type="paragraph" w:customStyle="1" w:styleId="270">
    <w:name w:val="样式 正文缩进s4标题4表正文正文非缩进图标题段1Body Text(ch)缩进ALT+Z特点四号正文不...1"/>
    <w:basedOn w:val="7"/>
    <w:link w:val="353"/>
    <w:qFormat/>
    <w:uiPriority w:val="0"/>
    <w:pPr>
      <w:ind w:firstLine="840" w:firstLineChars="400"/>
    </w:pPr>
    <w:rPr>
      <w:rFonts w:ascii="宋体" w:hAnsi="宋体" w:eastAsia="仿宋_GB2312" w:cs="宋体"/>
      <w:kern w:val="0"/>
      <w:sz w:val="24"/>
    </w:rPr>
  </w:style>
  <w:style w:type="paragraph" w:customStyle="1" w:styleId="271">
    <w:name w:val="样式 表名 + 首行缩进:  2 字符 段前: 1 行 段后: 1 行"/>
    <w:basedOn w:val="1"/>
    <w:qFormat/>
    <w:uiPriority w:val="0"/>
    <w:pPr>
      <w:adjustRightInd w:val="0"/>
      <w:spacing w:beforeLines="100" w:afterLines="100" w:line="400" w:lineRule="atLeast"/>
      <w:jc w:val="left"/>
      <w:textAlignment w:val="baseline"/>
    </w:pPr>
    <w:rPr>
      <w:rFonts w:eastAsia="黑体" w:cs="PMingLiU"/>
      <w:kern w:val="0"/>
      <w:sz w:val="24"/>
    </w:rPr>
  </w:style>
  <w:style w:type="paragraph" w:customStyle="1" w:styleId="272">
    <w:name w:val="Char Char2"/>
    <w:basedOn w:val="27"/>
    <w:qFormat/>
    <w:uiPriority w:val="0"/>
    <w:pPr>
      <w:adjustRightInd w:val="0"/>
      <w:spacing w:line="436" w:lineRule="exact"/>
      <w:ind w:left="357"/>
      <w:jc w:val="left"/>
      <w:outlineLvl w:val="3"/>
    </w:pPr>
    <w:rPr>
      <w:rFonts w:ascii="Tahoma" w:hAnsi="Tahoma"/>
      <w:b/>
      <w:sz w:val="24"/>
      <w:szCs w:val="24"/>
    </w:rPr>
  </w:style>
  <w:style w:type="paragraph" w:customStyle="1" w:styleId="273">
    <w:name w:val="Char Char1"/>
    <w:basedOn w:val="1"/>
    <w:qFormat/>
    <w:uiPriority w:val="0"/>
    <w:rPr>
      <w:rFonts w:ascii="宋体" w:hAnsi="宋体"/>
      <w:kern w:val="0"/>
      <w:sz w:val="24"/>
      <w:szCs w:val="24"/>
    </w:rPr>
  </w:style>
  <w:style w:type="paragraph" w:customStyle="1" w:styleId="274">
    <w:name w:val="默认段落字体 Para Char Char Char Char Char Char Char"/>
    <w:basedOn w:val="1"/>
    <w:qFormat/>
    <w:uiPriority w:val="0"/>
    <w:rPr>
      <w:rFonts w:ascii="Tahoma" w:hAnsi="Tahoma"/>
      <w:sz w:val="24"/>
    </w:rPr>
  </w:style>
  <w:style w:type="paragraph" w:customStyle="1" w:styleId="275">
    <w:name w:val="样式 (中文) 仿宋_GB2312 四号 黑色 行距: 1.5 倍行距"/>
    <w:basedOn w:val="1"/>
    <w:qFormat/>
    <w:uiPriority w:val="0"/>
    <w:pPr>
      <w:spacing w:line="360" w:lineRule="auto"/>
      <w:ind w:firstLine="200" w:firstLineChars="200"/>
    </w:pPr>
    <w:rPr>
      <w:rFonts w:eastAsia="仿宋_GB2312" w:cs="宋体"/>
      <w:color w:val="000000"/>
      <w:sz w:val="24"/>
    </w:rPr>
  </w:style>
  <w:style w:type="paragraph" w:customStyle="1" w:styleId="276">
    <w:name w:val="小标题"/>
    <w:basedOn w:val="1"/>
    <w:qFormat/>
    <w:uiPriority w:val="0"/>
    <w:pPr>
      <w:adjustRightInd w:val="0"/>
      <w:spacing w:beforeLines="30" w:afterLines="30" w:line="360" w:lineRule="atLeast"/>
      <w:ind w:left="300" w:leftChars="300" w:firstLine="100" w:firstLineChars="100"/>
      <w:jc w:val="left"/>
      <w:textAlignment w:val="baseline"/>
    </w:pPr>
    <w:rPr>
      <w:rFonts w:ascii="黑体" w:eastAsia="黑体"/>
      <w:bCs/>
      <w:kern w:val="0"/>
      <w:sz w:val="24"/>
      <w:u w:val="single"/>
    </w:rPr>
  </w:style>
  <w:style w:type="paragraph" w:customStyle="1" w:styleId="277">
    <w:name w:val="1 Char Char Char Char Char Char Char Char Char Char"/>
    <w:basedOn w:val="1"/>
    <w:qFormat/>
    <w:uiPriority w:val="0"/>
    <w:rPr>
      <w:szCs w:val="24"/>
    </w:rPr>
  </w:style>
  <w:style w:type="paragraph" w:customStyle="1" w:styleId="278">
    <w:name w:val="Char Char4"/>
    <w:basedOn w:val="1"/>
    <w:qFormat/>
    <w:uiPriority w:val="0"/>
    <w:rPr>
      <w:rFonts w:eastAsia="仿宋_GB2312"/>
      <w:b/>
      <w:sz w:val="24"/>
      <w:szCs w:val="24"/>
    </w:rPr>
  </w:style>
  <w:style w:type="paragraph" w:customStyle="1" w:styleId="279">
    <w:name w:val="Char Char Char Char1"/>
    <w:basedOn w:val="1"/>
    <w:qFormat/>
    <w:uiPriority w:val="0"/>
    <w:rPr>
      <w:szCs w:val="21"/>
    </w:rPr>
  </w:style>
  <w:style w:type="paragraph" w:customStyle="1" w:styleId="280">
    <w:name w:val="一级条标题"/>
    <w:next w:val="1"/>
    <w:qFormat/>
    <w:uiPriority w:val="0"/>
    <w:pPr>
      <w:outlineLvl w:val="2"/>
    </w:pPr>
    <w:rPr>
      <w:rFonts w:ascii="Times New Roman" w:hAnsi="Times New Roman" w:eastAsia="黑体" w:cs="Times New Roman"/>
      <w:sz w:val="21"/>
      <w:lang w:val="en-US" w:eastAsia="zh-CN" w:bidi="ar-SA"/>
    </w:rPr>
  </w:style>
  <w:style w:type="paragraph" w:customStyle="1" w:styleId="281">
    <w:name w:val="正文001"/>
    <w:basedOn w:val="1"/>
    <w:qFormat/>
    <w:uiPriority w:val="0"/>
    <w:pPr>
      <w:spacing w:before="60" w:line="460" w:lineRule="exact"/>
      <w:ind w:firstLine="200" w:firstLineChars="200"/>
    </w:pPr>
    <w:rPr>
      <w:rFonts w:ascii="Arial" w:hAnsi="Arial"/>
      <w:sz w:val="24"/>
    </w:rPr>
  </w:style>
  <w:style w:type="paragraph" w:customStyle="1" w:styleId="282">
    <w:name w:val="附录表标题"/>
    <w:next w:val="1"/>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283">
    <w:name w:val="表"/>
    <w:basedOn w:val="1"/>
    <w:link w:val="347"/>
    <w:qFormat/>
    <w:uiPriority w:val="0"/>
    <w:pPr>
      <w:snapToGrid w:val="0"/>
      <w:jc w:val="center"/>
    </w:pPr>
    <w:rPr>
      <w:spacing w:val="2"/>
    </w:rPr>
  </w:style>
  <w:style w:type="paragraph" w:customStyle="1" w:styleId="284">
    <w:name w:val="报告正文"/>
    <w:basedOn w:val="1"/>
    <w:link w:val="1211"/>
    <w:qFormat/>
    <w:uiPriority w:val="0"/>
    <w:pPr>
      <w:spacing w:line="360" w:lineRule="auto"/>
      <w:ind w:firstLine="480" w:firstLineChars="200"/>
    </w:pPr>
    <w:rPr>
      <w:rFonts w:hAnsi="宋体"/>
      <w:sz w:val="24"/>
      <w:szCs w:val="24"/>
    </w:rPr>
  </w:style>
  <w:style w:type="paragraph" w:customStyle="1" w:styleId="285">
    <w:name w:val="默认段落字体 Para Char"/>
    <w:basedOn w:val="1"/>
    <w:qFormat/>
    <w:uiPriority w:val="0"/>
    <w:rPr>
      <w:rFonts w:ascii="宋体"/>
      <w:sz w:val="28"/>
      <w:szCs w:val="24"/>
    </w:rPr>
  </w:style>
  <w:style w:type="paragraph" w:customStyle="1" w:styleId="286">
    <w:name w:val="正文文本1"/>
    <w:basedOn w:val="1"/>
    <w:qFormat/>
    <w:uiPriority w:val="0"/>
    <w:rPr>
      <w:sz w:val="28"/>
    </w:rPr>
  </w:style>
  <w:style w:type="paragraph" w:customStyle="1" w:styleId="287">
    <w:name w:val="正文1"/>
    <w:basedOn w:val="1"/>
    <w:link w:val="520"/>
    <w:qFormat/>
    <w:uiPriority w:val="0"/>
    <w:pPr>
      <w:adjustRightInd w:val="0"/>
      <w:snapToGrid w:val="0"/>
      <w:spacing w:line="500" w:lineRule="atLeast"/>
      <w:ind w:firstLine="567"/>
    </w:pPr>
    <w:rPr>
      <w:sz w:val="28"/>
    </w:rPr>
  </w:style>
  <w:style w:type="paragraph" w:customStyle="1" w:styleId="288">
    <w:name w:val="样式 正文文本缩进 + 左侧:  2 字符"/>
    <w:basedOn w:val="3"/>
    <w:qFormat/>
    <w:uiPriority w:val="0"/>
    <w:pPr>
      <w:widowControl/>
      <w:adjustRightInd w:val="0"/>
      <w:snapToGrid/>
      <w:spacing w:after="120"/>
      <w:ind w:firstLine="200" w:firstLineChars="200"/>
      <w:jc w:val="left"/>
    </w:pPr>
    <w:rPr>
      <w:rFonts w:ascii="Times New Roman" w:cs="宋体"/>
      <w:color w:val="auto"/>
      <w:kern w:val="0"/>
      <w:sz w:val="24"/>
    </w:rPr>
  </w:style>
  <w:style w:type="paragraph" w:customStyle="1" w:styleId="289">
    <w:name w:val="Char Char Char Char Char Char Char Char Char Char Char Char"/>
    <w:basedOn w:val="1"/>
    <w:qFormat/>
    <w:uiPriority w:val="0"/>
    <w:pPr>
      <w:adjustRightInd w:val="0"/>
      <w:spacing w:line="360" w:lineRule="auto"/>
    </w:pPr>
    <w:rPr>
      <w:kern w:val="0"/>
      <w:sz w:val="24"/>
    </w:rPr>
  </w:style>
  <w:style w:type="paragraph" w:customStyle="1" w:styleId="290">
    <w:name w:val="样式 表名 + 仿宋_GB2312 红色"/>
    <w:basedOn w:val="194"/>
    <w:qFormat/>
    <w:uiPriority w:val="0"/>
    <w:rPr>
      <w:rFonts w:ascii="Times New Roman"/>
      <w:bCs w:val="0"/>
      <w:szCs w:val="24"/>
    </w:rPr>
  </w:style>
  <w:style w:type="paragraph" w:customStyle="1" w:styleId="291">
    <w:name w:val="正文文本 21"/>
    <w:basedOn w:val="1"/>
    <w:qFormat/>
    <w:uiPriority w:val="0"/>
    <w:pPr>
      <w:adjustRightInd w:val="0"/>
      <w:jc w:val="center"/>
      <w:textAlignment w:val="baseline"/>
    </w:pPr>
    <w:rPr>
      <w:sz w:val="24"/>
    </w:rPr>
  </w:style>
  <w:style w:type="paragraph" w:customStyle="1" w:styleId="292">
    <w:name w:val="样式 样式 (中文) 仿宋_GB2312 居中1 + 小四"/>
    <w:basedOn w:val="1"/>
    <w:qFormat/>
    <w:uiPriority w:val="0"/>
    <w:pPr>
      <w:spacing w:line="240" w:lineRule="exact"/>
      <w:jc w:val="center"/>
    </w:pPr>
    <w:rPr>
      <w:szCs w:val="21"/>
    </w:rPr>
  </w:style>
  <w:style w:type="paragraph" w:customStyle="1" w:styleId="293">
    <w:name w:val="三级条标题"/>
    <w:basedOn w:val="294"/>
    <w:next w:val="1"/>
    <w:qFormat/>
    <w:uiPriority w:val="0"/>
    <w:pPr>
      <w:tabs>
        <w:tab w:val="left" w:pos="2580"/>
      </w:tabs>
      <w:ind w:left="2580" w:hanging="420"/>
      <w:outlineLvl w:val="4"/>
    </w:pPr>
  </w:style>
  <w:style w:type="paragraph" w:customStyle="1" w:styleId="294">
    <w:name w:val="二级条标题"/>
    <w:basedOn w:val="280"/>
    <w:next w:val="1"/>
    <w:qFormat/>
    <w:uiPriority w:val="0"/>
    <w:pPr>
      <w:ind w:left="840"/>
      <w:outlineLvl w:val="3"/>
    </w:pPr>
  </w:style>
  <w:style w:type="paragraph" w:customStyle="1" w:styleId="295">
    <w:name w:val="样式 正文文本缩进 3 + 12 磅 左侧:  2 字符"/>
    <w:basedOn w:val="69"/>
    <w:qFormat/>
    <w:uiPriority w:val="0"/>
    <w:pPr>
      <w:widowControl/>
      <w:snapToGrid/>
      <w:spacing w:after="120"/>
      <w:ind w:firstLine="200" w:firstLineChars="200"/>
      <w:jc w:val="left"/>
    </w:pPr>
    <w:rPr>
      <w:rFonts w:cs="PMingLiU"/>
      <w:kern w:val="0"/>
      <w:sz w:val="24"/>
    </w:rPr>
  </w:style>
  <w:style w:type="paragraph" w:customStyle="1" w:styleId="296">
    <w:name w:val="报告表小标题"/>
    <w:basedOn w:val="1"/>
    <w:qFormat/>
    <w:uiPriority w:val="0"/>
    <w:pPr>
      <w:spacing w:before="100" w:beforeAutospacing="1" w:line="360" w:lineRule="auto"/>
    </w:pPr>
    <w:rPr>
      <w:b/>
      <w:sz w:val="24"/>
      <w:szCs w:val="24"/>
    </w:rPr>
  </w:style>
  <w:style w:type="paragraph" w:customStyle="1" w:styleId="297">
    <w:name w:val="标题 2 + 段前: 0.5 行 段后: 0.5 行"/>
    <w:basedOn w:val="1"/>
    <w:qFormat/>
    <w:uiPriority w:val="0"/>
    <w:pPr>
      <w:keepNext/>
      <w:keepLines/>
      <w:spacing w:line="360" w:lineRule="auto"/>
      <w:ind w:firstLine="510"/>
      <w:jc w:val="left"/>
      <w:textAlignment w:val="baseline"/>
      <w:outlineLvl w:val="1"/>
    </w:pPr>
    <w:rPr>
      <w:rFonts w:ascii="黑体" w:eastAsia="黑体" w:cs="宋体"/>
      <w:b/>
      <w:bCs/>
      <w:kern w:val="0"/>
      <w:sz w:val="28"/>
    </w:rPr>
  </w:style>
  <w:style w:type="paragraph" w:customStyle="1" w:styleId="298">
    <w:name w:val="表文"/>
    <w:basedOn w:val="1"/>
    <w:link w:val="546"/>
    <w:qFormat/>
    <w:uiPriority w:val="0"/>
    <w:pPr>
      <w:autoSpaceDE w:val="0"/>
      <w:autoSpaceDN w:val="0"/>
      <w:adjustRightInd w:val="0"/>
      <w:spacing w:line="360" w:lineRule="atLeast"/>
      <w:jc w:val="center"/>
      <w:textAlignment w:val="baseline"/>
    </w:pPr>
    <w:rPr>
      <w:rFonts w:ascii="宋体" w:hAnsi="Tms Rmn"/>
      <w:kern w:val="0"/>
      <w:sz w:val="24"/>
    </w:rPr>
  </w:style>
  <w:style w:type="paragraph" w:styleId="299">
    <w:name w:val="List Paragraph"/>
    <w:basedOn w:val="1"/>
    <w:qFormat/>
    <w:uiPriority w:val="99"/>
    <w:pPr>
      <w:ind w:firstLine="420" w:firstLineChars="200"/>
    </w:pPr>
    <w:rPr>
      <w:rFonts w:ascii="Calibri" w:hAnsi="Calibri"/>
      <w:szCs w:val="22"/>
    </w:rPr>
  </w:style>
  <w:style w:type="paragraph" w:customStyle="1" w:styleId="300">
    <w:name w:val="样式10"/>
    <w:basedOn w:val="1"/>
    <w:qFormat/>
    <w:uiPriority w:val="0"/>
    <w:pPr>
      <w:spacing w:line="360" w:lineRule="auto"/>
      <w:ind w:firstLine="480" w:firstLineChars="200"/>
    </w:pPr>
    <w:rPr>
      <w:rFonts w:ascii="宋体" w:hAnsi="宋体"/>
      <w:sz w:val="24"/>
    </w:rPr>
  </w:style>
  <w:style w:type="paragraph" w:customStyle="1" w:styleId="301">
    <w:name w:val="正文（首行缩进两个字） + 首行缩进:  2 字符"/>
    <w:basedOn w:val="1"/>
    <w:qFormat/>
    <w:uiPriority w:val="0"/>
    <w:pPr>
      <w:widowControl/>
      <w:spacing w:line="440" w:lineRule="exact"/>
      <w:ind w:firstLine="200" w:firstLineChars="200"/>
      <w:jc w:val="left"/>
    </w:pPr>
    <w:rPr>
      <w:rFonts w:eastAsia="仿宋_GB2312" w:cs="宋体"/>
      <w:sz w:val="24"/>
      <w:lang w:val="zh-CN"/>
    </w:rPr>
  </w:style>
  <w:style w:type="paragraph" w:customStyle="1" w:styleId="302">
    <w:name w:val="表格内容"/>
    <w:basedOn w:val="1"/>
    <w:qFormat/>
    <w:uiPriority w:val="0"/>
    <w:pPr>
      <w:spacing w:before="50" w:after="50" w:line="360" w:lineRule="auto"/>
      <w:ind w:firstLine="480" w:firstLineChars="200"/>
    </w:pPr>
    <w:rPr>
      <w:rFonts w:ascii="仿宋_GB2312" w:eastAsia="仿宋_GB2312"/>
      <w:sz w:val="24"/>
      <w:szCs w:val="28"/>
    </w:rPr>
  </w:style>
  <w:style w:type="paragraph" w:customStyle="1" w:styleId="303">
    <w:name w:val="表格2"/>
    <w:basedOn w:val="1"/>
    <w:next w:val="1"/>
    <w:qFormat/>
    <w:uiPriority w:val="0"/>
    <w:pPr>
      <w:topLinePunct/>
      <w:autoSpaceDE w:val="0"/>
      <w:autoSpaceDN w:val="0"/>
      <w:adjustRightInd w:val="0"/>
      <w:jc w:val="center"/>
      <w:textAlignment w:val="baseline"/>
    </w:pPr>
    <w:rPr>
      <w:rFonts w:ascii="宋体" w:hAnsi="Impact"/>
      <w:kern w:val="24"/>
      <w:position w:val="-28"/>
    </w:rPr>
  </w:style>
  <w:style w:type="paragraph" w:customStyle="1" w:styleId="304">
    <w:name w:val="日期1"/>
    <w:basedOn w:val="1"/>
    <w:next w:val="1"/>
    <w:link w:val="1107"/>
    <w:qFormat/>
    <w:uiPriority w:val="0"/>
    <w:pPr>
      <w:adjustRightInd w:val="0"/>
      <w:textAlignment w:val="baseline"/>
    </w:pPr>
    <w:rPr>
      <w:sz w:val="30"/>
    </w:rPr>
  </w:style>
  <w:style w:type="paragraph" w:customStyle="1" w:styleId="305">
    <w:name w:val="报告表内竖"/>
    <w:basedOn w:val="1"/>
    <w:qFormat/>
    <w:uiPriority w:val="0"/>
    <w:pPr>
      <w:jc w:val="center"/>
    </w:pPr>
    <w:rPr>
      <w:rFonts w:ascii="宋体" w:cs="宋体"/>
      <w:color w:val="000000"/>
      <w:sz w:val="24"/>
      <w:szCs w:val="24"/>
    </w:rPr>
  </w:style>
  <w:style w:type="paragraph" w:customStyle="1" w:styleId="306">
    <w:name w:val="Table Paragraph"/>
    <w:basedOn w:val="1"/>
    <w:qFormat/>
    <w:uiPriority w:val="0"/>
    <w:pPr>
      <w:jc w:val="left"/>
    </w:pPr>
    <w:rPr>
      <w:rFonts w:ascii="Calibri" w:hAnsi="Calibri"/>
      <w:kern w:val="0"/>
      <w:sz w:val="22"/>
      <w:szCs w:val="22"/>
      <w:lang w:eastAsia="en-US"/>
    </w:rPr>
  </w:style>
  <w:style w:type="paragraph" w:customStyle="1" w:styleId="307">
    <w:name w:val="样式 图表目录 + 居中 左侧:  0.85 厘米 悬挂缩进: 0.85 厘米"/>
    <w:basedOn w:val="72"/>
    <w:qFormat/>
    <w:uiPriority w:val="0"/>
    <w:pPr>
      <w:spacing w:line="480" w:lineRule="auto"/>
      <w:ind w:left="964" w:leftChars="0" w:hanging="482" w:firstLineChars="0"/>
      <w:jc w:val="center"/>
    </w:pPr>
    <w:rPr>
      <w:rFonts w:eastAsia="黑体" w:cs="宋体"/>
      <w:b/>
      <w:sz w:val="28"/>
    </w:rPr>
  </w:style>
  <w:style w:type="paragraph" w:customStyle="1" w:styleId="308">
    <w:name w:val="文本正文"/>
    <w:basedOn w:val="1"/>
    <w:qFormat/>
    <w:uiPriority w:val="0"/>
    <w:pPr>
      <w:snapToGrid w:val="0"/>
      <w:spacing w:line="360" w:lineRule="auto"/>
      <w:ind w:firstLine="510"/>
      <w:jc w:val="left"/>
    </w:pPr>
    <w:rPr>
      <w:rFonts w:ascii="宋体"/>
      <w:spacing w:val="4"/>
      <w:kern w:val="24"/>
      <w:sz w:val="24"/>
      <w:szCs w:val="24"/>
      <w:lang w:val="zh-CN"/>
    </w:rPr>
  </w:style>
  <w:style w:type="paragraph" w:customStyle="1" w:styleId="309">
    <w:name w:val="Char Char Char Char Char Char Char Char Char Char"/>
    <w:basedOn w:val="1"/>
    <w:qFormat/>
    <w:uiPriority w:val="0"/>
    <w:pPr>
      <w:spacing w:before="24" w:after="24" w:line="240" w:lineRule="exact"/>
      <w:jc w:val="center"/>
    </w:pPr>
    <w:rPr>
      <w:rFonts w:ascii="宋体" w:hAnsi="宋体"/>
      <w:color w:val="0070C0"/>
      <w:szCs w:val="21"/>
    </w:rPr>
  </w:style>
  <w:style w:type="paragraph" w:customStyle="1" w:styleId="310">
    <w:name w:val="样式 两端对齐 行距: 1.5 倍行距 首行缩进:  2 字符"/>
    <w:basedOn w:val="1"/>
    <w:qFormat/>
    <w:uiPriority w:val="0"/>
    <w:pPr>
      <w:widowControl/>
      <w:spacing w:line="360" w:lineRule="auto"/>
      <w:ind w:firstLine="200" w:firstLineChars="200"/>
    </w:pPr>
    <w:rPr>
      <w:rFonts w:cs="PMingLiU"/>
      <w:kern w:val="0"/>
      <w:sz w:val="24"/>
    </w:rPr>
  </w:style>
  <w:style w:type="paragraph" w:customStyle="1" w:styleId="311">
    <w:name w:val="Char Char Char Char Char Char1"/>
    <w:basedOn w:val="1"/>
    <w:qFormat/>
    <w:uiPriority w:val="0"/>
    <w:rPr>
      <w:sz w:val="24"/>
      <w:szCs w:val="24"/>
    </w:rPr>
  </w:style>
  <w:style w:type="paragraph" w:customStyle="1" w:styleId="312">
    <w:name w:val="样式 首行缩进:  2 字符 段后: 0.5 行"/>
    <w:basedOn w:val="1"/>
    <w:qFormat/>
    <w:uiPriority w:val="0"/>
    <w:pPr>
      <w:adjustRightInd w:val="0"/>
      <w:snapToGrid w:val="0"/>
      <w:spacing w:afterLines="30" w:line="300" w:lineRule="auto"/>
      <w:ind w:firstLine="200" w:firstLineChars="200"/>
    </w:pPr>
    <w:rPr>
      <w:rFonts w:cs="宋体"/>
      <w:sz w:val="28"/>
    </w:rPr>
  </w:style>
  <w:style w:type="paragraph" w:customStyle="1" w:styleId="313">
    <w:name w:val="Char Char Char Char Char1"/>
    <w:basedOn w:val="1"/>
    <w:qFormat/>
    <w:uiPriority w:val="0"/>
    <w:rPr>
      <w:rFonts w:eastAsia="仿宋_GB2312"/>
      <w:b/>
      <w:color w:val="000000"/>
      <w:sz w:val="24"/>
      <w:szCs w:val="24"/>
    </w:rPr>
  </w:style>
  <w:style w:type="paragraph" w:customStyle="1" w:styleId="314">
    <w:name w:val="表格标题"/>
    <w:basedOn w:val="1"/>
    <w:qFormat/>
    <w:uiPriority w:val="0"/>
    <w:pPr>
      <w:spacing w:before="120"/>
      <w:jc w:val="center"/>
    </w:pPr>
    <w:rPr>
      <w:sz w:val="24"/>
    </w:rPr>
  </w:style>
  <w:style w:type="paragraph" w:customStyle="1" w:styleId="315">
    <w:name w:val="样式 样式 正文缩进s4标题4表正文正文非缩进图标题段1Body Text(ch)缩进ALT+Z特点四号正文不... + 首行缩..."/>
    <w:basedOn w:val="1"/>
    <w:qFormat/>
    <w:uiPriority w:val="0"/>
    <w:pPr>
      <w:ind w:firstLine="480" w:firstLineChars="200"/>
    </w:pPr>
    <w:rPr>
      <w:rFonts w:ascii="宋体" w:hAnsi="宋体" w:eastAsia="仿宋_GB2312" w:cs="宋体"/>
      <w:kern w:val="0"/>
      <w:sz w:val="24"/>
    </w:rPr>
  </w:style>
  <w:style w:type="paragraph" w:customStyle="1" w:styleId="316">
    <w:name w:val="表名2"/>
    <w:basedOn w:val="1"/>
    <w:qFormat/>
    <w:uiPriority w:val="0"/>
    <w:pPr>
      <w:spacing w:before="120" w:after="120" w:line="240" w:lineRule="atLeast"/>
      <w:jc w:val="center"/>
    </w:pPr>
    <w:rPr>
      <w:b/>
      <w:bCs/>
      <w:sz w:val="24"/>
      <w:szCs w:val="24"/>
    </w:rPr>
  </w:style>
  <w:style w:type="paragraph" w:customStyle="1" w:styleId="317">
    <w:name w:val="章标题"/>
    <w:next w:val="1"/>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318">
    <w:name w:val="表内格式"/>
    <w:basedOn w:val="1"/>
    <w:qFormat/>
    <w:uiPriority w:val="0"/>
    <w:pPr>
      <w:jc w:val="center"/>
    </w:pPr>
    <w:rPr>
      <w:sz w:val="18"/>
    </w:rPr>
  </w:style>
  <w:style w:type="paragraph" w:customStyle="1" w:styleId="319">
    <w:name w:val="表头样式1"/>
    <w:basedOn w:val="1"/>
    <w:qFormat/>
    <w:uiPriority w:val="0"/>
    <w:pPr>
      <w:spacing w:after="80" w:line="480" w:lineRule="atLeast"/>
      <w:jc w:val="center"/>
    </w:pPr>
    <w:rPr>
      <w:rFonts w:eastAsia="黑体"/>
      <w:b/>
      <w:sz w:val="24"/>
    </w:rPr>
  </w:style>
  <w:style w:type="paragraph" w:customStyle="1" w:styleId="320">
    <w:name w:val="_Style 2"/>
    <w:basedOn w:val="1"/>
    <w:qFormat/>
    <w:uiPriority w:val="0"/>
    <w:pPr>
      <w:ind w:firstLine="420" w:firstLineChars="200"/>
    </w:pPr>
    <w:rPr>
      <w:rFonts w:ascii="Calibri" w:hAnsi="Calibri"/>
      <w:szCs w:val="22"/>
    </w:rPr>
  </w:style>
  <w:style w:type="paragraph" w:customStyle="1" w:styleId="321">
    <w:name w:val="样式 方正仿宋_GBK 三号 加粗 黑色 居中 行距: 固定值 26 磅"/>
    <w:basedOn w:val="1"/>
    <w:qFormat/>
    <w:uiPriority w:val="0"/>
    <w:pPr>
      <w:adjustRightInd w:val="0"/>
      <w:snapToGrid w:val="0"/>
      <w:ind w:firstLine="105" w:firstLineChars="50"/>
      <w:jc w:val="center"/>
    </w:pPr>
    <w:rPr>
      <w:b/>
      <w:bCs/>
      <w:szCs w:val="21"/>
    </w:rPr>
  </w:style>
  <w:style w:type="paragraph" w:customStyle="1" w:styleId="322">
    <w:name w:val="Char1"/>
    <w:basedOn w:val="1"/>
    <w:qFormat/>
    <w:uiPriority w:val="99"/>
    <w:rPr>
      <w:sz w:val="24"/>
      <w:szCs w:val="24"/>
    </w:rPr>
  </w:style>
  <w:style w:type="paragraph" w:customStyle="1" w:styleId="323">
    <w:name w:val="报告表格内中"/>
    <w:basedOn w:val="1"/>
    <w:qFormat/>
    <w:uiPriority w:val="0"/>
    <w:pPr>
      <w:spacing w:before="100" w:beforeAutospacing="1"/>
      <w:jc w:val="center"/>
    </w:pPr>
    <w:rPr>
      <w:bCs/>
      <w:sz w:val="24"/>
      <w:szCs w:val="24"/>
    </w:rPr>
  </w:style>
  <w:style w:type="paragraph" w:customStyle="1" w:styleId="324">
    <w:name w:val="标题 41"/>
    <w:basedOn w:val="1"/>
    <w:qFormat/>
    <w:uiPriority w:val="1"/>
    <w:pPr>
      <w:spacing w:before="35"/>
      <w:ind w:left="600"/>
      <w:jc w:val="left"/>
      <w:outlineLvl w:val="4"/>
    </w:pPr>
    <w:rPr>
      <w:rFonts w:ascii="宋体" w:hAnsi="宋体"/>
      <w:b/>
      <w:bCs/>
      <w:kern w:val="0"/>
      <w:sz w:val="24"/>
      <w:szCs w:val="24"/>
      <w:lang w:eastAsia="en-US"/>
    </w:rPr>
  </w:style>
  <w:style w:type="paragraph" w:customStyle="1" w:styleId="325">
    <w:name w:val="pic-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26">
    <w:name w:val="样式 四号 黑色 行距: 1.5 倍行距 首行缩进:  2 字符"/>
    <w:basedOn w:val="1"/>
    <w:qFormat/>
    <w:uiPriority w:val="0"/>
    <w:pPr>
      <w:spacing w:line="360" w:lineRule="auto"/>
      <w:ind w:firstLine="560" w:firstLineChars="200"/>
    </w:pPr>
    <w:rPr>
      <w:rFonts w:eastAsia="仿宋_GB2312" w:cs="宋体"/>
      <w:color w:val="000000"/>
      <w:sz w:val="28"/>
    </w:rPr>
  </w:style>
  <w:style w:type="paragraph" w:customStyle="1" w:styleId="327">
    <w:name w:val="附录四级条标题"/>
    <w:basedOn w:val="328"/>
    <w:next w:val="1"/>
    <w:qFormat/>
    <w:uiPriority w:val="0"/>
    <w:pPr>
      <w:ind w:left="0"/>
      <w:outlineLvl w:val="5"/>
    </w:pPr>
  </w:style>
  <w:style w:type="paragraph" w:customStyle="1" w:styleId="328">
    <w:name w:val="附录三级条标题"/>
    <w:basedOn w:val="231"/>
    <w:next w:val="1"/>
    <w:qFormat/>
    <w:uiPriority w:val="0"/>
    <w:pPr>
      <w:ind w:left="840"/>
      <w:outlineLvl w:val="4"/>
    </w:pPr>
  </w:style>
  <w:style w:type="paragraph" w:customStyle="1" w:styleId="329">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30">
    <w:name w:val="Char Char11"/>
    <w:basedOn w:val="1"/>
    <w:qFormat/>
    <w:uiPriority w:val="0"/>
    <w:rPr>
      <w:rFonts w:ascii="宋体" w:hAnsi="宋体"/>
      <w:kern w:val="0"/>
      <w:sz w:val="24"/>
      <w:szCs w:val="24"/>
    </w:rPr>
  </w:style>
  <w:style w:type="paragraph" w:customStyle="1" w:styleId="331">
    <w:name w:val="表格第一行"/>
    <w:basedOn w:val="1"/>
    <w:qFormat/>
    <w:uiPriority w:val="0"/>
    <w:pPr>
      <w:adjustRightInd w:val="0"/>
      <w:jc w:val="center"/>
      <w:textAlignment w:val="baseline"/>
    </w:pPr>
    <w:rPr>
      <w:rFonts w:eastAsia="仿宋_GB2312"/>
      <w:kern w:val="0"/>
      <w:szCs w:val="21"/>
    </w:rPr>
  </w:style>
  <w:style w:type="paragraph" w:customStyle="1" w:styleId="332">
    <w:name w:val="表中文字"/>
    <w:qFormat/>
    <w:uiPriority w:val="0"/>
    <w:pPr>
      <w:spacing w:line="280" w:lineRule="exact"/>
      <w:jc w:val="center"/>
    </w:pPr>
    <w:rPr>
      <w:rFonts w:ascii="Times New Roman" w:hAnsi="Times New Roman" w:eastAsia="宋体" w:cs="Times New Roman"/>
      <w:sz w:val="21"/>
      <w:lang w:val="en-US" w:eastAsia="zh-CN" w:bidi="ar-SA"/>
    </w:rPr>
  </w:style>
  <w:style w:type="paragraph" w:customStyle="1" w:styleId="333">
    <w:name w:val="新表"/>
    <w:basedOn w:val="209"/>
    <w:qFormat/>
    <w:uiPriority w:val="0"/>
    <w:pPr>
      <w:spacing w:before="60" w:line="336" w:lineRule="auto"/>
    </w:pPr>
  </w:style>
  <w:style w:type="paragraph" w:customStyle="1" w:styleId="334">
    <w:name w:val="TOC 标题1"/>
    <w:basedOn w:val="5"/>
    <w:next w:val="1"/>
    <w:unhideWhenUsed/>
    <w:qFormat/>
    <w:uiPriority w:val="39"/>
    <w:pPr>
      <w:keepLines/>
      <w:widowControl/>
      <w:spacing w:before="480" w:line="276" w:lineRule="auto"/>
      <w:jc w:val="left"/>
      <w:outlineLvl w:val="9"/>
    </w:pPr>
    <w:rPr>
      <w:rFonts w:ascii="Cambria" w:hAnsi="Cambria"/>
      <w:b/>
      <w:bCs/>
      <w:color w:val="365F91"/>
      <w:kern w:val="0"/>
      <w:sz w:val="28"/>
      <w:szCs w:val="28"/>
    </w:rPr>
  </w:style>
  <w:style w:type="paragraph" w:customStyle="1" w:styleId="335">
    <w:name w:val="_Style 14"/>
    <w:basedOn w:val="1"/>
    <w:qFormat/>
    <w:uiPriority w:val="0"/>
  </w:style>
  <w:style w:type="paragraph" w:customStyle="1" w:styleId="336">
    <w:name w:val="Char Char Char Char Char Char Char Char Char Char Char Char Char"/>
    <w:basedOn w:val="1"/>
    <w:qFormat/>
    <w:uiPriority w:val="0"/>
    <w:pPr>
      <w:spacing w:line="240" w:lineRule="atLeast"/>
    </w:pPr>
  </w:style>
  <w:style w:type="character" w:customStyle="1" w:styleId="337">
    <w:name w:val="未处理的提及1"/>
    <w:basedOn w:val="131"/>
    <w:semiHidden/>
    <w:unhideWhenUsed/>
    <w:qFormat/>
    <w:uiPriority w:val="99"/>
    <w:rPr>
      <w:color w:val="605E5C"/>
      <w:shd w:val="clear" w:color="auto" w:fill="E1DFDD"/>
    </w:rPr>
  </w:style>
  <w:style w:type="character" w:customStyle="1" w:styleId="338">
    <w:name w:val="样式1 Char Char"/>
    <w:link w:val="239"/>
    <w:qFormat/>
    <w:uiPriority w:val="0"/>
    <w:rPr>
      <w:rFonts w:ascii="宋体" w:hAnsi="宋体" w:eastAsia="宋体" w:cs="Times New Roman"/>
      <w:b/>
      <w:bCs/>
      <w:sz w:val="28"/>
      <w:szCs w:val="20"/>
    </w:rPr>
  </w:style>
  <w:style w:type="character" w:customStyle="1" w:styleId="339">
    <w:name w:val="批注文字 字符2"/>
    <w:qFormat/>
    <w:uiPriority w:val="0"/>
    <w:rPr>
      <w:rFonts w:ascii="宋体"/>
      <w:kern w:val="2"/>
      <w:sz w:val="21"/>
    </w:rPr>
  </w:style>
  <w:style w:type="character" w:customStyle="1" w:styleId="340">
    <w:name w:val="题注 Char"/>
    <w:link w:val="23"/>
    <w:qFormat/>
    <w:uiPriority w:val="35"/>
    <w:rPr>
      <w:rFonts w:ascii="Arial" w:hAnsi="Arial" w:eastAsia="宋体" w:cs="Arial"/>
      <w:kern w:val="0"/>
      <w:sz w:val="24"/>
      <w:szCs w:val="20"/>
    </w:rPr>
  </w:style>
  <w:style w:type="character" w:customStyle="1" w:styleId="341">
    <w:name w:val="表格文字   居中 Char Char"/>
    <w:link w:val="342"/>
    <w:qFormat/>
    <w:uiPriority w:val="0"/>
    <w:rPr>
      <w:rFonts w:eastAsia="宋体"/>
      <w:szCs w:val="21"/>
      <w:shd w:val="clear" w:color="auto" w:fill="FFFFFF"/>
    </w:rPr>
  </w:style>
  <w:style w:type="paragraph" w:customStyle="1" w:styleId="342">
    <w:name w:val="表格文字   居中"/>
    <w:basedOn w:val="1"/>
    <w:link w:val="341"/>
    <w:qFormat/>
    <w:uiPriority w:val="0"/>
    <w:pPr>
      <w:shd w:val="clear" w:color="auto" w:fill="FFFFFF"/>
      <w:adjustRightInd w:val="0"/>
      <w:snapToGrid w:val="0"/>
      <w:jc w:val="center"/>
    </w:pPr>
    <w:rPr>
      <w:rFonts w:asciiTheme="minorHAnsi" w:hAnsiTheme="minorHAnsi" w:cstheme="minorBidi"/>
      <w:szCs w:val="21"/>
    </w:rPr>
  </w:style>
  <w:style w:type="character" w:customStyle="1" w:styleId="343">
    <w:name w:val="标题 6 Char"/>
    <w:basedOn w:val="131"/>
    <w:link w:val="11"/>
    <w:qFormat/>
    <w:uiPriority w:val="0"/>
    <w:rPr>
      <w:rFonts w:ascii="Arial" w:hAnsi="Arial" w:eastAsia="黑体" w:cs="Times New Roman"/>
      <w:b/>
      <w:kern w:val="0"/>
      <w:sz w:val="24"/>
      <w:szCs w:val="20"/>
    </w:rPr>
  </w:style>
  <w:style w:type="character" w:customStyle="1" w:styleId="344">
    <w:name w:val="标题 7 Char"/>
    <w:basedOn w:val="131"/>
    <w:link w:val="12"/>
    <w:qFormat/>
    <w:uiPriority w:val="0"/>
    <w:rPr>
      <w:rFonts w:ascii="Times New Roman" w:hAnsi="Times New Roman" w:eastAsia="仿宋_GB2312" w:cs="Times New Roman"/>
      <w:b/>
      <w:kern w:val="0"/>
      <w:sz w:val="24"/>
      <w:szCs w:val="20"/>
    </w:rPr>
  </w:style>
  <w:style w:type="character" w:customStyle="1" w:styleId="345">
    <w:name w:val="标题 8 Char"/>
    <w:basedOn w:val="131"/>
    <w:link w:val="13"/>
    <w:qFormat/>
    <w:uiPriority w:val="0"/>
    <w:rPr>
      <w:rFonts w:ascii="Arial" w:hAnsi="Arial" w:eastAsia="黑体" w:cs="Times New Roman"/>
      <w:kern w:val="0"/>
      <w:sz w:val="24"/>
      <w:szCs w:val="20"/>
    </w:rPr>
  </w:style>
  <w:style w:type="character" w:customStyle="1" w:styleId="346">
    <w:name w:val="标题 9 Char"/>
    <w:basedOn w:val="131"/>
    <w:link w:val="14"/>
    <w:qFormat/>
    <w:uiPriority w:val="0"/>
    <w:rPr>
      <w:rFonts w:ascii="Arial" w:hAnsi="Arial" w:eastAsia="黑体" w:cs="Times New Roman"/>
      <w:kern w:val="0"/>
      <w:sz w:val="24"/>
      <w:szCs w:val="20"/>
    </w:rPr>
  </w:style>
  <w:style w:type="character" w:customStyle="1" w:styleId="347">
    <w:name w:val="表 Char Char"/>
    <w:link w:val="283"/>
    <w:qFormat/>
    <w:uiPriority w:val="0"/>
    <w:rPr>
      <w:rFonts w:ascii="Times New Roman" w:hAnsi="Times New Roman" w:eastAsia="宋体" w:cs="Times New Roman"/>
      <w:spacing w:val="2"/>
      <w:szCs w:val="20"/>
    </w:rPr>
  </w:style>
  <w:style w:type="character" w:customStyle="1" w:styleId="348">
    <w:name w:val="样式 样式 首行缩进:  2 字符 + 首行缩进:  2 字符 Char Char"/>
    <w:link w:val="349"/>
    <w:qFormat/>
    <w:uiPriority w:val="0"/>
    <w:rPr>
      <w:rFonts w:ascii="Times New Roman" w:hAnsi="Times New Roman" w:eastAsia="仿宋_GB2312" w:cs="宋体"/>
      <w:kern w:val="0"/>
      <w:sz w:val="28"/>
      <w:szCs w:val="28"/>
    </w:rPr>
  </w:style>
  <w:style w:type="paragraph" w:customStyle="1" w:styleId="349">
    <w:name w:val="样式 样式 首行缩进:  2 字符 + 首行缩进:  2 字符"/>
    <w:basedOn w:val="350"/>
    <w:link w:val="348"/>
    <w:qFormat/>
    <w:uiPriority w:val="0"/>
    <w:pPr>
      <w:widowControl/>
      <w:tabs>
        <w:tab w:val="left" w:pos="3735"/>
      </w:tabs>
      <w:adjustRightInd/>
      <w:snapToGrid/>
      <w:spacing w:line="510" w:lineRule="exact"/>
      <w:ind w:firstLine="560" w:firstLineChars="200"/>
      <w:textAlignment w:val="auto"/>
    </w:pPr>
    <w:rPr>
      <w:rFonts w:ascii="Times New Roman" w:cs="宋体"/>
      <w:bCs w:val="0"/>
    </w:rPr>
  </w:style>
  <w:style w:type="paragraph" w:customStyle="1" w:styleId="350">
    <w:name w:val="样式 首行缩进:  2 字符"/>
    <w:basedOn w:val="1"/>
    <w:link w:val="1054"/>
    <w:qFormat/>
    <w:uiPriority w:val="0"/>
    <w:pPr>
      <w:tabs>
        <w:tab w:val="left" w:pos="3735"/>
      </w:tabs>
      <w:adjustRightInd w:val="0"/>
      <w:snapToGrid w:val="0"/>
      <w:spacing w:line="360" w:lineRule="auto"/>
      <w:textAlignment w:val="baseline"/>
    </w:pPr>
    <w:rPr>
      <w:rFonts w:ascii="仿宋_GB2312" w:eastAsia="仿宋_GB2312" w:cs="幼圆"/>
      <w:bCs/>
      <w:kern w:val="0"/>
      <w:sz w:val="28"/>
      <w:szCs w:val="28"/>
    </w:rPr>
  </w:style>
  <w:style w:type="character" w:customStyle="1" w:styleId="351">
    <w:name w:val="表头 Char Char"/>
    <w:link w:val="261"/>
    <w:qFormat/>
    <w:uiPriority w:val="0"/>
    <w:rPr>
      <w:rFonts w:ascii="楷体_GB2312" w:hAnsi="Times New Roman" w:eastAsia="楷体_GB2312" w:cs="Times New Roman"/>
      <w:b/>
      <w:snapToGrid w:val="0"/>
      <w:spacing w:val="4"/>
      <w:kern w:val="0"/>
      <w:sz w:val="28"/>
      <w:szCs w:val="28"/>
    </w:rPr>
  </w:style>
  <w:style w:type="character" w:customStyle="1" w:styleId="352">
    <w:name w:val="zi"/>
    <w:basedOn w:val="131"/>
    <w:qFormat/>
    <w:uiPriority w:val="0"/>
  </w:style>
  <w:style w:type="character" w:customStyle="1" w:styleId="353">
    <w:name w:val="样式 正文缩进s4标题4表正文正文非缩进图标题段1Body Text(ch)缩进ALT+Z特点四号正文不...1 Char Char"/>
    <w:link w:val="270"/>
    <w:qFormat/>
    <w:uiPriority w:val="0"/>
    <w:rPr>
      <w:rFonts w:ascii="宋体" w:hAnsi="宋体" w:eastAsia="仿宋_GB2312" w:cs="宋体"/>
      <w:kern w:val="0"/>
      <w:sz w:val="24"/>
      <w:szCs w:val="20"/>
    </w:rPr>
  </w:style>
  <w:style w:type="character" w:customStyle="1" w:styleId="354">
    <w:name w:val="zw居中 Char Char"/>
    <w:link w:val="355"/>
    <w:qFormat/>
    <w:uiPriority w:val="0"/>
    <w:rPr>
      <w:rFonts w:eastAsia="宋体"/>
      <w:szCs w:val="21"/>
    </w:rPr>
  </w:style>
  <w:style w:type="paragraph" w:customStyle="1" w:styleId="355">
    <w:name w:val="zw居中"/>
    <w:basedOn w:val="1"/>
    <w:link w:val="354"/>
    <w:qFormat/>
    <w:uiPriority w:val="0"/>
    <w:pPr>
      <w:adjustRightInd w:val="0"/>
      <w:snapToGrid w:val="0"/>
      <w:spacing w:line="360" w:lineRule="auto"/>
      <w:jc w:val="center"/>
    </w:pPr>
    <w:rPr>
      <w:rFonts w:asciiTheme="minorHAnsi" w:hAnsiTheme="minorHAnsi" w:cstheme="minorBidi"/>
      <w:szCs w:val="21"/>
    </w:rPr>
  </w:style>
  <w:style w:type="character" w:customStyle="1" w:styleId="356">
    <w:name w:val="标题 1 Char Char"/>
    <w:qFormat/>
    <w:uiPriority w:val="0"/>
    <w:rPr>
      <w:rFonts w:ascii="Times New Roman" w:hAnsi="Times New Roman" w:eastAsia="仿宋_GB2312" w:cs="Times New Roman"/>
      <w:b/>
      <w:bCs/>
      <w:kern w:val="44"/>
      <w:sz w:val="44"/>
      <w:szCs w:val="44"/>
    </w:rPr>
  </w:style>
  <w:style w:type="character" w:customStyle="1" w:styleId="357">
    <w:name w:val="黑体三号"/>
    <w:qFormat/>
    <w:uiPriority w:val="0"/>
    <w:rPr>
      <w:rFonts w:eastAsia="黑体"/>
      <w:sz w:val="32"/>
    </w:rPr>
  </w:style>
  <w:style w:type="character" w:customStyle="1" w:styleId="358">
    <w:name w:val="标题 3 Char Char"/>
    <w:qFormat/>
    <w:uiPriority w:val="0"/>
    <w:rPr>
      <w:rFonts w:ascii="Times New Roman" w:hAnsi="Times New Roman" w:eastAsia="仿宋_GB2312" w:cs="Times New Roman"/>
      <w:b/>
      <w:bCs/>
      <w:sz w:val="32"/>
      <w:szCs w:val="32"/>
    </w:rPr>
  </w:style>
  <w:style w:type="character" w:customStyle="1" w:styleId="359">
    <w:name w:val="½Ú Char1"/>
    <w:qFormat/>
    <w:uiPriority w:val="0"/>
    <w:rPr>
      <w:rFonts w:ascii="Arial" w:hAnsi="Arial" w:eastAsia="宋体"/>
      <w:b/>
      <w:sz w:val="30"/>
      <w:lang w:val="en-US" w:eastAsia="zh-CN" w:bidi="ar-SA"/>
    </w:rPr>
  </w:style>
  <w:style w:type="character" w:customStyle="1" w:styleId="360">
    <w:name w:val="脚注文本 Char"/>
    <w:link w:val="66"/>
    <w:qFormat/>
    <w:uiPriority w:val="0"/>
    <w:rPr>
      <w:rFonts w:ascii="Times New Roman" w:hAnsi="Times New Roman" w:eastAsia="仿宋_GB2312" w:cs="Times New Roman"/>
      <w:sz w:val="18"/>
      <w:szCs w:val="18"/>
    </w:rPr>
  </w:style>
  <w:style w:type="character" w:customStyle="1" w:styleId="361">
    <w:name w:val="Char Char27"/>
    <w:qFormat/>
    <w:uiPriority w:val="0"/>
    <w:rPr>
      <w:rFonts w:ascii="楷体_GB2312" w:eastAsia="楷体_GB2312"/>
      <w:b/>
      <w:kern w:val="2"/>
      <w:sz w:val="24"/>
      <w:szCs w:val="24"/>
      <w:lang w:val="en-US" w:eastAsia="zh-CN" w:bidi="ar-SA"/>
    </w:rPr>
  </w:style>
  <w:style w:type="character" w:customStyle="1" w:styleId="362">
    <w:name w:val="报告表正文 Char Char"/>
    <w:link w:val="363"/>
    <w:qFormat/>
    <w:uiPriority w:val="0"/>
    <w:rPr>
      <w:rFonts w:eastAsia="宋体"/>
      <w:sz w:val="24"/>
    </w:rPr>
  </w:style>
  <w:style w:type="paragraph" w:customStyle="1" w:styleId="363">
    <w:name w:val="报告表正文"/>
    <w:basedOn w:val="1"/>
    <w:link w:val="362"/>
    <w:qFormat/>
    <w:uiPriority w:val="0"/>
    <w:pPr>
      <w:adjustRightInd w:val="0"/>
      <w:spacing w:line="360" w:lineRule="auto"/>
      <w:ind w:left="113" w:right="113" w:firstLine="482"/>
      <w:textAlignment w:val="baseline"/>
    </w:pPr>
    <w:rPr>
      <w:rFonts w:asciiTheme="minorHAnsi" w:hAnsiTheme="minorHAnsi" w:cstheme="minorBidi"/>
      <w:sz w:val="24"/>
      <w:szCs w:val="22"/>
    </w:rPr>
  </w:style>
  <w:style w:type="character" w:customStyle="1" w:styleId="364">
    <w:name w:val="正文缩进 字符1"/>
    <w:qFormat/>
    <w:uiPriority w:val="0"/>
    <w:rPr>
      <w:rFonts w:ascii="Times New Roman" w:hAnsi="Times New Roman" w:eastAsia="仿宋_GB2312" w:cs="Times New Roman"/>
      <w:sz w:val="28"/>
      <w:szCs w:val="24"/>
    </w:rPr>
  </w:style>
  <w:style w:type="character" w:customStyle="1" w:styleId="365">
    <w:name w:val="页脚 Char Char"/>
    <w:qFormat/>
    <w:uiPriority w:val="0"/>
    <w:rPr>
      <w:kern w:val="2"/>
      <w:sz w:val="18"/>
    </w:rPr>
  </w:style>
  <w:style w:type="character" w:customStyle="1" w:styleId="366">
    <w:name w:val="上标 Char Char"/>
    <w:link w:val="367"/>
    <w:qFormat/>
    <w:uiPriority w:val="0"/>
    <w:rPr>
      <w:rFonts w:ascii="Times New Roman" w:hAnsi="Times New Roman" w:eastAsia="宋体" w:cs="Times New Roman"/>
      <w:sz w:val="24"/>
      <w:szCs w:val="24"/>
      <w:vertAlign w:val="superscript"/>
    </w:rPr>
  </w:style>
  <w:style w:type="paragraph" w:customStyle="1" w:styleId="367">
    <w:name w:val="上标"/>
    <w:basedOn w:val="1"/>
    <w:link w:val="366"/>
    <w:qFormat/>
    <w:uiPriority w:val="0"/>
    <w:rPr>
      <w:sz w:val="24"/>
      <w:szCs w:val="24"/>
      <w:vertAlign w:val="superscript"/>
    </w:rPr>
  </w:style>
  <w:style w:type="character" w:customStyle="1" w:styleId="368">
    <w:name w:val="样式 样式 样式 样式 正文缩进s4 + 首行缩进:  2 字符 + 首行缩进:  2 字符 + Char + 仿宋_GB231..."/>
    <w:qFormat/>
    <w:uiPriority w:val="0"/>
    <w:rPr>
      <w:rFonts w:ascii="仿宋_GB2312" w:eastAsia="宋体" w:cs="宋体"/>
      <w:color w:val="auto"/>
      <w:kern w:val="2"/>
      <w:sz w:val="24"/>
      <w:szCs w:val="28"/>
      <w:lang w:val="en-US" w:eastAsia="zh-CN" w:bidi="ar-SA"/>
    </w:rPr>
  </w:style>
  <w:style w:type="character" w:customStyle="1" w:styleId="369">
    <w:name w:val="正文首行缩进 2 Char"/>
    <w:link w:val="2"/>
    <w:qFormat/>
    <w:uiPriority w:val="0"/>
    <w:rPr>
      <w:rFonts w:ascii="Times New Roman" w:hAnsi="Times New Roman" w:eastAsia="仿宋_GB2312" w:cs="Times New Roman"/>
      <w:sz w:val="28"/>
      <w:szCs w:val="24"/>
    </w:rPr>
  </w:style>
  <w:style w:type="character" w:customStyle="1" w:styleId="370">
    <w:name w:val="样式 样式 样式 首行缩进:  2 字符3 + 首行缩进:  2 字符 + 首行缩进:  2 字符 Char Char"/>
    <w:link w:val="371"/>
    <w:qFormat/>
    <w:uiPriority w:val="0"/>
    <w:rPr>
      <w:rFonts w:ascii="宋体" w:hAnsi="宋体" w:eastAsia="宋体" w:cs="幼圆"/>
      <w:kern w:val="0"/>
      <w:sz w:val="24"/>
      <w:szCs w:val="20"/>
    </w:rPr>
  </w:style>
  <w:style w:type="paragraph" w:customStyle="1" w:styleId="371">
    <w:name w:val="样式 样式 样式 首行缩进:  2 字符3 + 首行缩进:  2 字符 + 首行缩进:  2 字符"/>
    <w:basedOn w:val="1"/>
    <w:link w:val="370"/>
    <w:qFormat/>
    <w:uiPriority w:val="0"/>
    <w:pPr>
      <w:tabs>
        <w:tab w:val="left" w:pos="9070"/>
      </w:tabs>
      <w:adjustRightInd w:val="0"/>
      <w:snapToGrid w:val="0"/>
      <w:spacing w:line="360" w:lineRule="auto"/>
      <w:ind w:right="-2" w:firstLine="480" w:firstLineChars="200"/>
      <w:textAlignment w:val="baseline"/>
    </w:pPr>
    <w:rPr>
      <w:rFonts w:ascii="宋体" w:hAnsi="宋体" w:cs="幼圆"/>
      <w:kern w:val="0"/>
      <w:sz w:val="24"/>
    </w:rPr>
  </w:style>
  <w:style w:type="character" w:customStyle="1" w:styleId="372">
    <w:name w:val="样式 样式 样式 正文缩进s4 + 首行缩进:  2 字符 + 首行缩进:  2 字符 + Char Char"/>
    <w:qFormat/>
    <w:uiPriority w:val="0"/>
    <w:rPr>
      <w:rFonts w:eastAsia="仿宋_GB2312" w:cs="宋体"/>
      <w:color w:val="000000"/>
      <w:kern w:val="2"/>
      <w:sz w:val="28"/>
      <w:szCs w:val="28"/>
      <w:lang w:val="en-US" w:eastAsia="zh-CN" w:bidi="ar-SA"/>
    </w:rPr>
  </w:style>
  <w:style w:type="character" w:customStyle="1" w:styleId="373">
    <w:name w:val="表格 Char Char"/>
    <w:link w:val="260"/>
    <w:qFormat/>
    <w:uiPriority w:val="0"/>
    <w:rPr>
      <w:rFonts w:ascii="宋体" w:hAnsi="Times New Roman" w:eastAsia="宋体" w:cs="Times New Roman"/>
      <w:spacing w:val="4"/>
      <w:w w:val="90"/>
      <w:sz w:val="24"/>
      <w:szCs w:val="24"/>
    </w:rPr>
  </w:style>
  <w:style w:type="character" w:customStyle="1" w:styleId="374">
    <w:name w:val="正文缩进28磅 Char Char"/>
    <w:link w:val="375"/>
    <w:qFormat/>
    <w:uiPriority w:val="0"/>
    <w:rPr>
      <w:rFonts w:ascii="Times New Roman" w:hAnsi="Times New Roman" w:eastAsia="仿宋_GB2312" w:cs="宋体"/>
      <w:kern w:val="16"/>
      <w:sz w:val="28"/>
      <w:szCs w:val="20"/>
    </w:rPr>
  </w:style>
  <w:style w:type="paragraph" w:customStyle="1" w:styleId="375">
    <w:name w:val="正文缩进28磅"/>
    <w:basedOn w:val="7"/>
    <w:link w:val="374"/>
    <w:qFormat/>
    <w:uiPriority w:val="0"/>
    <w:pPr>
      <w:adjustRightInd w:val="0"/>
      <w:snapToGrid w:val="0"/>
      <w:spacing w:line="360" w:lineRule="auto"/>
      <w:ind w:firstLine="200" w:firstLineChars="200"/>
    </w:pPr>
    <w:rPr>
      <w:rFonts w:eastAsia="仿宋_GB2312" w:cs="宋体"/>
      <w:kern w:val="16"/>
      <w:sz w:val="28"/>
    </w:rPr>
  </w:style>
  <w:style w:type="character" w:customStyle="1" w:styleId="376">
    <w:name w:val="样式 题注 + 黑体 Char"/>
    <w:link w:val="377"/>
    <w:qFormat/>
    <w:uiPriority w:val="0"/>
    <w:rPr>
      <w:rFonts w:ascii="黑体" w:hAnsi="黑体" w:eastAsia="黑体" w:cs="Arial"/>
    </w:rPr>
  </w:style>
  <w:style w:type="paragraph" w:customStyle="1" w:styleId="377">
    <w:name w:val="样式 题注 + 黑体"/>
    <w:basedOn w:val="1"/>
    <w:link w:val="376"/>
    <w:qFormat/>
    <w:uiPriority w:val="0"/>
    <w:pPr>
      <w:adjustRightInd w:val="0"/>
      <w:snapToGrid w:val="0"/>
      <w:ind w:firstLine="396" w:firstLineChars="200"/>
      <w:jc w:val="center"/>
    </w:pPr>
    <w:rPr>
      <w:rFonts w:ascii="黑体" w:hAnsi="黑体" w:eastAsia="黑体" w:cs="Arial"/>
      <w:szCs w:val="22"/>
    </w:rPr>
  </w:style>
  <w:style w:type="character" w:customStyle="1" w:styleId="378">
    <w:name w:val="样式 四号 黑色"/>
    <w:qFormat/>
    <w:uiPriority w:val="0"/>
    <w:rPr>
      <w:rFonts w:eastAsia="仿宋_GB2312"/>
      <w:color w:val="000000"/>
      <w:sz w:val="28"/>
    </w:rPr>
  </w:style>
  <w:style w:type="character" w:customStyle="1" w:styleId="379">
    <w:name w:val="样式 正文缩进s4标题4表正文正文非缩进图标题段1Body Text(ch)缩进ALT+Z特点四号正文不...9 Char Char"/>
    <w:link w:val="380"/>
    <w:qFormat/>
    <w:uiPriority w:val="0"/>
    <w:rPr>
      <w:rFonts w:ascii="仿宋_GB2312" w:hAnsi="仿宋_GB2312" w:eastAsia="宋体" w:cs="Times New Roman"/>
      <w:kern w:val="16"/>
      <w:sz w:val="24"/>
      <w:szCs w:val="32"/>
    </w:rPr>
  </w:style>
  <w:style w:type="paragraph" w:customStyle="1" w:styleId="380">
    <w:name w:val="样式 正文缩进s4标题4表正文正文非缩进图标题段1Body Text(ch)缩进ALT+Z特点四号正文不...9"/>
    <w:basedOn w:val="7"/>
    <w:link w:val="379"/>
    <w:qFormat/>
    <w:uiPriority w:val="0"/>
    <w:pPr>
      <w:adjustRightInd w:val="0"/>
      <w:snapToGrid w:val="0"/>
      <w:spacing w:line="480" w:lineRule="exact"/>
      <w:ind w:firstLine="560" w:firstLineChars="200"/>
    </w:pPr>
    <w:rPr>
      <w:rFonts w:ascii="仿宋_GB2312" w:hAnsi="仿宋_GB2312"/>
      <w:kern w:val="16"/>
      <w:sz w:val="24"/>
      <w:szCs w:val="32"/>
    </w:rPr>
  </w:style>
  <w:style w:type="character" w:customStyle="1" w:styleId="381">
    <w:name w:val="样式 正文 Char Char"/>
    <w:link w:val="382"/>
    <w:qFormat/>
    <w:uiPriority w:val="0"/>
    <w:rPr>
      <w:rFonts w:ascii="Times New Roman" w:hAnsi="Times New Roman" w:eastAsia="宋体" w:cs="宋体"/>
      <w:color w:val="000000"/>
      <w:kern w:val="16"/>
      <w:sz w:val="24"/>
      <w:szCs w:val="28"/>
    </w:rPr>
  </w:style>
  <w:style w:type="paragraph" w:customStyle="1" w:styleId="382">
    <w:name w:val="样式 正文"/>
    <w:basedOn w:val="7"/>
    <w:link w:val="381"/>
    <w:qFormat/>
    <w:uiPriority w:val="0"/>
    <w:pPr>
      <w:adjustRightInd w:val="0"/>
      <w:snapToGrid w:val="0"/>
      <w:spacing w:line="360" w:lineRule="auto"/>
      <w:ind w:firstLine="200" w:firstLineChars="200"/>
    </w:pPr>
    <w:rPr>
      <w:rFonts w:cs="宋体"/>
      <w:color w:val="000000"/>
      <w:kern w:val="16"/>
      <w:sz w:val="24"/>
      <w:szCs w:val="28"/>
    </w:rPr>
  </w:style>
  <w:style w:type="character" w:customStyle="1" w:styleId="383">
    <w:name w:val="zw Char Char"/>
    <w:link w:val="384"/>
    <w:qFormat/>
    <w:uiPriority w:val="0"/>
    <w:rPr>
      <w:rFonts w:ascii="Times New Roman" w:hAnsi="Times New Roman" w:eastAsia="宋体" w:cs="Times New Roman"/>
      <w:kern w:val="0"/>
      <w:sz w:val="24"/>
      <w:szCs w:val="24"/>
      <w:shd w:val="clear" w:color="auto" w:fill="FFFFFF"/>
    </w:rPr>
  </w:style>
  <w:style w:type="paragraph" w:customStyle="1" w:styleId="384">
    <w:name w:val="zw"/>
    <w:basedOn w:val="1"/>
    <w:link w:val="383"/>
    <w:qFormat/>
    <w:uiPriority w:val="0"/>
    <w:pPr>
      <w:shd w:val="clear" w:color="auto" w:fill="FFFFFF"/>
      <w:adjustRightInd w:val="0"/>
      <w:snapToGrid w:val="0"/>
      <w:spacing w:line="360" w:lineRule="auto"/>
      <w:ind w:firstLine="480" w:firstLineChars="200"/>
    </w:pPr>
    <w:rPr>
      <w:kern w:val="0"/>
      <w:sz w:val="24"/>
      <w:szCs w:val="24"/>
      <w:shd w:val="clear" w:color="auto" w:fill="FFFFFF"/>
    </w:rPr>
  </w:style>
  <w:style w:type="paragraph" w:customStyle="1" w:styleId="385">
    <w:name w:val="二级标题"/>
    <w:basedOn w:val="83"/>
    <w:next w:val="2"/>
    <w:qFormat/>
    <w:uiPriority w:val="0"/>
    <w:pPr>
      <w:spacing w:before="240"/>
      <w:ind w:left="0" w:leftChars="0"/>
      <w:jc w:val="center"/>
    </w:pPr>
    <w:rPr>
      <w:rFonts w:eastAsia="黑体" w:cs="Times New Roman"/>
      <w:kern w:val="0"/>
      <w:sz w:val="32"/>
    </w:rPr>
  </w:style>
  <w:style w:type="paragraph" w:customStyle="1" w:styleId="386">
    <w:name w:val="样式 样式 样式1 + 首行缩进:  0 厘米 + 首行缩进:  1 字符"/>
    <w:basedOn w:val="83"/>
    <w:qFormat/>
    <w:uiPriority w:val="0"/>
    <w:pPr>
      <w:spacing w:before="240"/>
      <w:ind w:left="0" w:leftChars="0" w:firstLine="360"/>
      <w:jc w:val="center"/>
    </w:pPr>
    <w:rPr>
      <w:rFonts w:eastAsia="黑体" w:cs="Times New Roman"/>
      <w:kern w:val="0"/>
      <w:sz w:val="36"/>
    </w:rPr>
  </w:style>
  <w:style w:type="paragraph" w:customStyle="1" w:styleId="387">
    <w:name w:val="样式 样式 样式 样式1 + 首行缩进:  0 厘米 + 首行缩进:  1 字符 + 两端对齐"/>
    <w:basedOn w:val="386"/>
    <w:next w:val="1"/>
    <w:qFormat/>
    <w:uiPriority w:val="0"/>
    <w:pPr>
      <w:ind w:firstLine="0"/>
      <w:jc w:val="both"/>
    </w:pPr>
    <w:rPr>
      <w:rFonts w:eastAsia="仿宋_GB2312" w:cs="宋体"/>
      <w:b w:val="0"/>
      <w:sz w:val="28"/>
      <w:szCs w:val="20"/>
    </w:rPr>
  </w:style>
  <w:style w:type="character" w:customStyle="1" w:styleId="388">
    <w:name w:val="正文文本首行缩进 2 字符1"/>
    <w:basedOn w:val="154"/>
    <w:semiHidden/>
    <w:qFormat/>
    <w:uiPriority w:val="99"/>
    <w:rPr>
      <w:rFonts w:ascii="Times New Roman" w:hAnsi="Times New Roman" w:eastAsia="宋体" w:cs="Times New Roman"/>
      <w:color w:val="000000"/>
      <w:szCs w:val="20"/>
    </w:rPr>
  </w:style>
  <w:style w:type="character" w:customStyle="1" w:styleId="389">
    <w:name w:val="脚注文本 字符1"/>
    <w:basedOn w:val="131"/>
    <w:semiHidden/>
    <w:qFormat/>
    <w:uiPriority w:val="99"/>
    <w:rPr>
      <w:rFonts w:ascii="Times New Roman" w:hAnsi="Times New Roman" w:eastAsia="宋体" w:cs="Times New Roman"/>
      <w:sz w:val="18"/>
      <w:szCs w:val="18"/>
    </w:rPr>
  </w:style>
  <w:style w:type="paragraph" w:customStyle="1" w:styleId="390">
    <w:name w:val="一级标题"/>
    <w:basedOn w:val="5"/>
    <w:qFormat/>
    <w:uiPriority w:val="0"/>
    <w:pPr>
      <w:keepLines/>
      <w:tabs>
        <w:tab w:val="left" w:pos="432"/>
      </w:tabs>
      <w:spacing w:before="340" w:after="330" w:line="578" w:lineRule="auto"/>
      <w:ind w:left="432"/>
      <w:jc w:val="both"/>
    </w:pPr>
    <w:rPr>
      <w:rFonts w:ascii="Calibri" w:hAnsi="Calibri" w:eastAsia="仿宋_GB2312"/>
      <w:b/>
      <w:bCs/>
      <w:kern w:val="44"/>
      <w:sz w:val="44"/>
      <w:szCs w:val="44"/>
    </w:rPr>
  </w:style>
  <w:style w:type="paragraph" w:customStyle="1" w:styleId="391">
    <w:name w:val="c"/>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392">
    <w:name w:val="Char Char6 Char Char Char Char Char Char Char Char Char Char"/>
    <w:basedOn w:val="1"/>
    <w:qFormat/>
    <w:uiPriority w:val="0"/>
    <w:rPr>
      <w:sz w:val="24"/>
      <w:szCs w:val="24"/>
    </w:rPr>
  </w:style>
  <w:style w:type="paragraph" w:customStyle="1" w:styleId="393">
    <w:name w:val="Char Char20"/>
    <w:basedOn w:val="1"/>
    <w:qFormat/>
    <w:uiPriority w:val="0"/>
    <w:pPr>
      <w:widowControl/>
      <w:spacing w:after="160" w:line="240" w:lineRule="exact"/>
      <w:jc w:val="left"/>
    </w:pPr>
    <w:rPr>
      <w:rFonts w:eastAsia="仿宋_GB2312"/>
      <w:sz w:val="28"/>
      <w:szCs w:val="24"/>
    </w:rPr>
  </w:style>
  <w:style w:type="paragraph" w:customStyle="1" w:styleId="394">
    <w:name w:val="样式3"/>
    <w:basedOn w:val="23"/>
    <w:qFormat/>
    <w:uiPriority w:val="0"/>
    <w:pPr>
      <w:adjustRightInd/>
      <w:snapToGrid/>
      <w:spacing w:before="0" w:after="0" w:line="490" w:lineRule="exact"/>
      <w:ind w:firstLine="0" w:firstLineChars="0"/>
      <w:textAlignment w:val="auto"/>
    </w:pPr>
    <w:rPr>
      <w:rFonts w:ascii="仿宋_GB2312" w:eastAsia="黑体" w:cs="Times New Roman"/>
      <w:szCs w:val="24"/>
    </w:rPr>
  </w:style>
  <w:style w:type="paragraph" w:customStyle="1" w:styleId="395">
    <w:name w:val="样式 仿宋_GB2312 加粗 左 行距: 1.5 倍行距"/>
    <w:basedOn w:val="1"/>
    <w:qFormat/>
    <w:uiPriority w:val="0"/>
    <w:pPr>
      <w:spacing w:line="300" w:lineRule="auto"/>
      <w:jc w:val="left"/>
    </w:pPr>
    <w:rPr>
      <w:rFonts w:ascii="仿宋_GB2312" w:hAnsi="宋体" w:eastAsia="仿宋_GB2312" w:cs="宋体"/>
      <w:b/>
      <w:bCs/>
      <w:sz w:val="28"/>
    </w:rPr>
  </w:style>
  <w:style w:type="paragraph" w:customStyle="1" w:styleId="396">
    <w:name w:val="样式 正文文本 + 首行缩进:  2 字符"/>
    <w:basedOn w:val="1"/>
    <w:link w:val="1036"/>
    <w:qFormat/>
    <w:uiPriority w:val="0"/>
    <w:pPr>
      <w:autoSpaceDE w:val="0"/>
      <w:autoSpaceDN w:val="0"/>
      <w:adjustRightInd w:val="0"/>
      <w:snapToGrid w:val="0"/>
      <w:spacing w:line="490" w:lineRule="exact"/>
      <w:ind w:firstLine="560" w:firstLineChars="200"/>
      <w:textAlignment w:val="bottom"/>
    </w:pPr>
    <w:rPr>
      <w:rFonts w:ascii="仿宋_GB2312" w:hAnsi="宋体" w:eastAsia="仿宋_GB2312"/>
      <w:color w:val="000000"/>
      <w:sz w:val="28"/>
      <w:szCs w:val="28"/>
    </w:rPr>
  </w:style>
  <w:style w:type="paragraph" w:customStyle="1" w:styleId="397">
    <w:name w:val="样式 样式 正文文本 + 首行缩进:  2 字符 + 首行缩进:  1.5 字符"/>
    <w:basedOn w:val="1"/>
    <w:qFormat/>
    <w:uiPriority w:val="0"/>
    <w:pPr>
      <w:spacing w:before="100" w:beforeAutospacing="1" w:after="100" w:afterAutospacing="1"/>
      <w:ind w:firstLine="560" w:firstLineChars="200"/>
    </w:pPr>
    <w:rPr>
      <w:rFonts w:eastAsia="仿宋_GB2312"/>
      <w:color w:val="FF0000"/>
      <w:sz w:val="28"/>
      <w:szCs w:val="24"/>
    </w:rPr>
  </w:style>
  <w:style w:type="paragraph" w:customStyle="1" w:styleId="398">
    <w:name w:val="样式 表格 + 两端对齐"/>
    <w:basedOn w:val="260"/>
    <w:qFormat/>
    <w:uiPriority w:val="0"/>
    <w:pPr>
      <w:spacing w:before="31" w:beforeAutospacing="1" w:after="31" w:afterAutospacing="1" w:line="240" w:lineRule="atLeast"/>
      <w:textAlignment w:val="auto"/>
    </w:pPr>
    <w:rPr>
      <w:rFonts w:ascii="Arial" w:hAnsi="Arial"/>
      <w:spacing w:val="0"/>
      <w:w w:val="100"/>
      <w:sz w:val="20"/>
      <w:szCs w:val="20"/>
    </w:rPr>
  </w:style>
  <w:style w:type="paragraph" w:customStyle="1" w:styleId="399">
    <w:name w:val="标题2"/>
    <w:basedOn w:val="1"/>
    <w:next w:val="1"/>
    <w:link w:val="485"/>
    <w:qFormat/>
    <w:uiPriority w:val="99"/>
    <w:rPr>
      <w:color w:val="FF0000"/>
      <w:sz w:val="30"/>
      <w:szCs w:val="24"/>
    </w:rPr>
  </w:style>
  <w:style w:type="paragraph" w:customStyle="1" w:styleId="400">
    <w:name w:val="标题1"/>
    <w:basedOn w:val="1"/>
    <w:qFormat/>
    <w:uiPriority w:val="0"/>
    <w:rPr>
      <w:sz w:val="36"/>
      <w:szCs w:val="24"/>
    </w:rPr>
  </w:style>
  <w:style w:type="paragraph" w:customStyle="1" w:styleId="401">
    <w:name w:val="Char Char3 Char Char Char Char Char Char1 Char"/>
    <w:basedOn w:val="1"/>
    <w:qFormat/>
    <w:uiPriority w:val="0"/>
    <w:pPr>
      <w:numPr>
        <w:ilvl w:val="0"/>
        <w:numId w:val="3"/>
      </w:numPr>
      <w:spacing w:line="360" w:lineRule="auto"/>
    </w:pPr>
    <w:rPr>
      <w:rFonts w:ascii="宋体" w:hAnsi="宋体" w:cs="宋体"/>
      <w:sz w:val="24"/>
      <w:szCs w:val="24"/>
    </w:rPr>
  </w:style>
  <w:style w:type="paragraph" w:customStyle="1" w:styleId="402">
    <w:name w:val="段落"/>
    <w:basedOn w:val="1"/>
    <w:qFormat/>
    <w:uiPriority w:val="0"/>
    <w:pPr>
      <w:spacing w:line="520" w:lineRule="exact"/>
      <w:ind w:firstLine="200" w:firstLineChars="200"/>
      <w:textAlignment w:val="baseline"/>
    </w:pPr>
    <w:rPr>
      <w:sz w:val="28"/>
    </w:rPr>
  </w:style>
  <w:style w:type="paragraph" w:customStyle="1" w:styleId="403">
    <w:name w:val="证书编号（表内）"/>
    <w:basedOn w:val="1"/>
    <w:qFormat/>
    <w:uiPriority w:val="0"/>
    <w:pPr>
      <w:adjustRightInd w:val="0"/>
      <w:snapToGrid w:val="0"/>
      <w:jc w:val="center"/>
    </w:pPr>
    <w:rPr>
      <w:rFonts w:ascii="黑体" w:hAnsi="宋体" w:eastAsia="黑体"/>
      <w:szCs w:val="21"/>
    </w:rPr>
  </w:style>
  <w:style w:type="paragraph" w:customStyle="1" w:styleId="404">
    <w:name w:val="样式 标题 2 + 右侧:  0.49 厘米 段前: 10 磅 段后: 10 磅 行距: 1.5 倍行距"/>
    <w:basedOn w:val="6"/>
    <w:qFormat/>
    <w:uiPriority w:val="0"/>
    <w:pPr>
      <w:keepLines/>
      <w:tabs>
        <w:tab w:val="left" w:pos="567"/>
      </w:tabs>
      <w:spacing w:before="200" w:after="100" w:line="360" w:lineRule="auto"/>
      <w:ind w:left="567" w:right="278" w:hanging="567"/>
      <w:jc w:val="both"/>
    </w:pPr>
    <w:rPr>
      <w:rFonts w:ascii="Arial" w:hAnsi="Arial" w:eastAsia="黑体"/>
      <w:b/>
      <w:bCs/>
      <w:sz w:val="32"/>
      <w:szCs w:val="24"/>
    </w:rPr>
  </w:style>
  <w:style w:type="paragraph" w:customStyle="1" w:styleId="405">
    <w:name w:val="样式 仿宋_GB2312 四号 首行缩进:  0.89 厘米 行距: 1.5 倍行距"/>
    <w:basedOn w:val="1"/>
    <w:qFormat/>
    <w:uiPriority w:val="0"/>
    <w:pPr>
      <w:topLinePunct/>
      <w:adjustRightInd w:val="0"/>
      <w:spacing w:line="360" w:lineRule="auto"/>
      <w:ind w:firstLine="504"/>
      <w:textAlignment w:val="baseline"/>
    </w:pPr>
    <w:rPr>
      <w:rFonts w:ascii="Arial" w:hAnsi="Arial" w:eastAsia="仿宋_GB2312" w:cs="宋体"/>
      <w:kern w:val="0"/>
      <w:sz w:val="28"/>
      <w:szCs w:val="28"/>
    </w:rPr>
  </w:style>
  <w:style w:type="paragraph" w:customStyle="1" w:styleId="406">
    <w:name w:val="一级"/>
    <w:basedOn w:val="1"/>
    <w:next w:val="384"/>
    <w:qFormat/>
    <w:uiPriority w:val="0"/>
    <w:pPr>
      <w:shd w:val="clear" w:color="auto" w:fill="FFFFFF"/>
      <w:adjustRightInd w:val="0"/>
      <w:snapToGrid w:val="0"/>
      <w:spacing w:beforeLines="50"/>
      <w:jc w:val="left"/>
      <w:outlineLvl w:val="0"/>
    </w:pPr>
    <w:rPr>
      <w:rFonts w:eastAsia="仿宋_GB2312"/>
      <w:b/>
      <w:bCs/>
      <w:sz w:val="32"/>
      <w:szCs w:val="32"/>
    </w:rPr>
  </w:style>
  <w:style w:type="paragraph" w:customStyle="1" w:styleId="407">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408">
    <w:name w:val="默认段落字体 Para Char Char Char Char Char Char Char Char Char Char Char Char Char1 Char"/>
    <w:basedOn w:val="27"/>
    <w:qFormat/>
    <w:uiPriority w:val="0"/>
    <w:pPr>
      <w:adjustRightInd w:val="0"/>
      <w:snapToGrid w:val="0"/>
      <w:spacing w:line="360" w:lineRule="auto"/>
    </w:pPr>
    <w:rPr>
      <w:rFonts w:ascii="Tahoma" w:hAnsi="Tahoma" w:eastAsia="仿宋_GB2312"/>
      <w:kern w:val="0"/>
      <w:sz w:val="28"/>
      <w:szCs w:val="24"/>
      <w:shd w:val="clear" w:color="auto" w:fill="000080"/>
    </w:rPr>
  </w:style>
  <w:style w:type="paragraph" w:customStyle="1" w:styleId="409">
    <w:name w:val="默认段落字体 Char Char Char"/>
    <w:basedOn w:val="1"/>
    <w:qFormat/>
    <w:uiPriority w:val="0"/>
    <w:rPr>
      <w:sz w:val="24"/>
      <w:szCs w:val="24"/>
    </w:rPr>
  </w:style>
  <w:style w:type="paragraph" w:customStyle="1" w:styleId="410">
    <w:name w:val="样式 样式 样式 正文缩进s4 + 首行缩进:  2 字符 + 首行缩进:  2 字符 +"/>
    <w:basedOn w:val="1"/>
    <w:link w:val="1042"/>
    <w:qFormat/>
    <w:uiPriority w:val="0"/>
    <w:pPr>
      <w:adjustRightInd w:val="0"/>
      <w:snapToGrid w:val="0"/>
      <w:ind w:firstLine="560" w:firstLineChars="200"/>
    </w:pPr>
    <w:rPr>
      <w:snapToGrid w:val="0"/>
      <w:szCs w:val="21"/>
    </w:rPr>
  </w:style>
  <w:style w:type="paragraph" w:customStyle="1" w:styleId="411">
    <w:name w:val="Char Char6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12">
    <w:name w:val="公示"/>
    <w:basedOn w:val="1"/>
    <w:qFormat/>
    <w:uiPriority w:val="0"/>
    <w:pPr>
      <w:snapToGrid w:val="0"/>
      <w:spacing w:line="300" w:lineRule="auto"/>
      <w:ind w:firstLine="21" w:firstLineChars="10"/>
      <w:outlineLvl w:val="0"/>
    </w:pPr>
    <w:rPr>
      <w:rFonts w:ascii="宋体" w:hAnsi="宋体" w:cs="Arial"/>
      <w:szCs w:val="21"/>
    </w:rPr>
  </w:style>
  <w:style w:type="paragraph" w:customStyle="1" w:styleId="413">
    <w:name w:val="样式 样式 正文缩进标题4s4正文缩进 Char表正文正文非缩进 + 首行缩进:  2 字符 行距: 1.5 倍行距 + 首行缩..."/>
    <w:basedOn w:val="1"/>
    <w:qFormat/>
    <w:uiPriority w:val="0"/>
    <w:pPr>
      <w:adjustRightInd w:val="0"/>
      <w:snapToGrid w:val="0"/>
      <w:spacing w:line="360" w:lineRule="auto"/>
      <w:ind w:firstLine="560" w:firstLineChars="200"/>
      <w:textAlignment w:val="baseline"/>
    </w:pPr>
    <w:rPr>
      <w:rFonts w:ascii="宋体" w:cs="宋体"/>
      <w:kern w:val="0"/>
      <w:sz w:val="24"/>
    </w:rPr>
  </w:style>
  <w:style w:type="paragraph" w:customStyle="1" w:styleId="414">
    <w:name w:val="表格文字（小五）"/>
    <w:basedOn w:val="174"/>
    <w:next w:val="7"/>
    <w:link w:val="1087"/>
    <w:qFormat/>
    <w:uiPriority w:val="0"/>
    <w:pPr>
      <w:tabs>
        <w:tab w:val="left" w:pos="746"/>
        <w:tab w:val="clear" w:pos="-2848"/>
      </w:tabs>
      <w:spacing w:line="360" w:lineRule="exact"/>
      <w:textAlignment w:val="center"/>
    </w:pPr>
    <w:rPr>
      <w:rFonts w:ascii="Arial" w:hAnsi="Arial" w:cs="Arial"/>
      <w:position w:val="0"/>
      <w:sz w:val="20"/>
      <w:szCs w:val="20"/>
    </w:rPr>
  </w:style>
  <w:style w:type="paragraph" w:customStyle="1" w:styleId="415">
    <w:name w:val="样式 左侧:  0.98 厘米"/>
    <w:basedOn w:val="1"/>
    <w:link w:val="1053"/>
    <w:qFormat/>
    <w:uiPriority w:val="0"/>
    <w:pPr>
      <w:adjustRightInd w:val="0"/>
      <w:snapToGrid w:val="0"/>
      <w:spacing w:line="490" w:lineRule="exact"/>
      <w:ind w:firstLine="560" w:firstLineChars="200"/>
    </w:pPr>
    <w:rPr>
      <w:rFonts w:eastAsia="仿宋_GB2312"/>
      <w:color w:val="000000"/>
      <w:sz w:val="28"/>
    </w:rPr>
  </w:style>
  <w:style w:type="paragraph" w:customStyle="1" w:styleId="416">
    <w:name w:val="样式 样式 题注 + 首行缩进:  2 字符 + 首行缩进:  1 字符"/>
    <w:basedOn w:val="1"/>
    <w:qFormat/>
    <w:uiPriority w:val="0"/>
    <w:pPr>
      <w:adjustRightInd w:val="0"/>
      <w:spacing w:beforeLines="20" w:line="300" w:lineRule="auto"/>
      <w:ind w:firstLine="100" w:firstLineChars="100"/>
    </w:pPr>
    <w:rPr>
      <w:rFonts w:ascii="Arial" w:hAnsi="Arial" w:eastAsia="黑体" w:cs="宋体"/>
    </w:rPr>
  </w:style>
  <w:style w:type="paragraph" w:customStyle="1" w:styleId="417">
    <w:name w:val="Char Char2 Char Char Char Char"/>
    <w:basedOn w:val="1"/>
    <w:qFormat/>
    <w:uiPriority w:val="0"/>
    <w:pPr>
      <w:spacing w:line="360" w:lineRule="auto"/>
    </w:pPr>
    <w:rPr>
      <w:rFonts w:ascii="宋体" w:hAnsi="宋体" w:cs="宋体"/>
      <w:sz w:val="24"/>
      <w:szCs w:val="24"/>
    </w:rPr>
  </w:style>
  <w:style w:type="paragraph" w:customStyle="1" w:styleId="418">
    <w:name w:val="Char Char Char Char Char Char Char1"/>
    <w:basedOn w:val="1"/>
    <w:qFormat/>
    <w:uiPriority w:val="0"/>
    <w:rPr>
      <w:szCs w:val="24"/>
    </w:rPr>
  </w:style>
  <w:style w:type="paragraph" w:customStyle="1" w:styleId="419">
    <w:name w:val="样式 正文缩进s4标题4表正文正文非缩进图标题段1Body Text(ch)缩进ALT+Z特点四号正文不..."/>
    <w:basedOn w:val="7"/>
    <w:qFormat/>
    <w:uiPriority w:val="0"/>
    <w:pPr>
      <w:adjustRightInd w:val="0"/>
      <w:snapToGrid w:val="0"/>
      <w:spacing w:line="360" w:lineRule="auto"/>
      <w:ind w:firstLine="0"/>
      <w:jc w:val="left"/>
    </w:pPr>
    <w:rPr>
      <w:rFonts w:ascii="仿宋_GB2312" w:cs="宋体"/>
      <w:snapToGrid w:val="0"/>
      <w:kern w:val="16"/>
      <w:sz w:val="24"/>
    </w:rPr>
  </w:style>
  <w:style w:type="paragraph" w:customStyle="1" w:styleId="420">
    <w:name w:val="_Style 7"/>
    <w:basedOn w:val="1"/>
    <w:qFormat/>
    <w:uiPriority w:val="0"/>
    <w:pPr>
      <w:spacing w:line="520" w:lineRule="exact"/>
      <w:ind w:firstLine="200" w:firstLineChars="200"/>
    </w:pPr>
    <w:rPr>
      <w:rFonts w:eastAsia="仿宋_GB2312"/>
      <w:sz w:val="28"/>
    </w:rPr>
  </w:style>
  <w:style w:type="paragraph" w:customStyle="1" w:styleId="421">
    <w:name w:val="Char4"/>
    <w:basedOn w:val="27"/>
    <w:qFormat/>
    <w:uiPriority w:val="0"/>
    <w:pPr>
      <w:adjustRightInd w:val="0"/>
      <w:snapToGrid w:val="0"/>
      <w:spacing w:line="360" w:lineRule="auto"/>
    </w:pPr>
    <w:rPr>
      <w:rFonts w:ascii="Tahoma" w:hAnsi="Tahoma" w:eastAsia="仿宋_GB2312"/>
      <w:kern w:val="0"/>
      <w:sz w:val="28"/>
      <w:szCs w:val="24"/>
      <w:shd w:val="clear" w:color="auto" w:fill="000080"/>
    </w:rPr>
  </w:style>
  <w:style w:type="paragraph" w:customStyle="1" w:styleId="422">
    <w:name w:val="样式 样式 正文 + 仿宋_GB2312 自动设置 首行缩进:  2 字符2"/>
    <w:basedOn w:val="1"/>
    <w:qFormat/>
    <w:uiPriority w:val="0"/>
    <w:pPr>
      <w:adjustRightInd w:val="0"/>
      <w:snapToGrid w:val="0"/>
      <w:spacing w:line="360" w:lineRule="auto"/>
      <w:ind w:firstLine="560" w:firstLineChars="200"/>
    </w:pPr>
    <w:rPr>
      <w:rFonts w:ascii="仿宋_GB2312" w:cs="宋体"/>
      <w:snapToGrid w:val="0"/>
      <w:sz w:val="24"/>
    </w:rPr>
  </w:style>
  <w:style w:type="paragraph" w:customStyle="1" w:styleId="423">
    <w:name w:val="Char4 Char Char Char"/>
    <w:basedOn w:val="1"/>
    <w:qFormat/>
    <w:uiPriority w:val="0"/>
    <w:pPr>
      <w:pageBreakBefore/>
    </w:pPr>
    <w:rPr>
      <w:szCs w:val="24"/>
    </w:rPr>
  </w:style>
  <w:style w:type="paragraph" w:customStyle="1" w:styleId="424">
    <w:name w:val="样式 样式 (中文) 宋体 小四 左 行距: 1.5 倍行距 首行缩进:  2 字符 + 首行缩进:  2 字符"/>
    <w:basedOn w:val="1"/>
    <w:qFormat/>
    <w:uiPriority w:val="0"/>
    <w:pPr>
      <w:spacing w:line="360" w:lineRule="auto"/>
      <w:ind w:firstLine="200" w:firstLineChars="200"/>
    </w:pPr>
    <w:rPr>
      <w:sz w:val="24"/>
    </w:rPr>
  </w:style>
  <w:style w:type="paragraph" w:customStyle="1" w:styleId="425">
    <w:name w:val="样式 (中文) 宋体 五号 行距: 多倍行距 1.25 字行 首行缩进:  2 字符"/>
    <w:basedOn w:val="1"/>
    <w:qFormat/>
    <w:uiPriority w:val="0"/>
    <w:pPr>
      <w:spacing w:line="300" w:lineRule="auto"/>
      <w:ind w:firstLine="200" w:firstLineChars="200"/>
    </w:pPr>
  </w:style>
  <w:style w:type="paragraph" w:customStyle="1" w:styleId="426">
    <w:name w:val="Char Char Char"/>
    <w:basedOn w:val="1"/>
    <w:qFormat/>
    <w:uiPriority w:val="0"/>
    <w:rPr>
      <w:szCs w:val="24"/>
    </w:rPr>
  </w:style>
  <w:style w:type="paragraph" w:customStyle="1" w:styleId="427">
    <w:name w:val="样式 (中文) 宋体 小四 行距: 1.5 倍行距 首行缩进:  2 字符"/>
    <w:basedOn w:val="1"/>
    <w:qFormat/>
    <w:uiPriority w:val="0"/>
    <w:pPr>
      <w:spacing w:line="360" w:lineRule="auto"/>
      <w:ind w:firstLine="200" w:firstLineChars="200"/>
    </w:pPr>
    <w:rPr>
      <w:sz w:val="24"/>
    </w:rPr>
  </w:style>
  <w:style w:type="paragraph" w:customStyle="1" w:styleId="428">
    <w:name w:val="Char5"/>
    <w:basedOn w:val="1"/>
    <w:next w:val="85"/>
    <w:qFormat/>
    <w:uiPriority w:val="0"/>
    <w:rPr>
      <w:szCs w:val="24"/>
    </w:rPr>
  </w:style>
  <w:style w:type="paragraph" w:customStyle="1" w:styleId="429">
    <w:name w:val="二级"/>
    <w:basedOn w:val="1"/>
    <w:next w:val="384"/>
    <w:qFormat/>
    <w:uiPriority w:val="0"/>
    <w:pPr>
      <w:shd w:val="clear" w:color="auto" w:fill="FFFFFF"/>
      <w:spacing w:line="300" w:lineRule="auto"/>
    </w:pPr>
    <w:rPr>
      <w:rFonts w:ascii="楷体_GB2312" w:hAnsi="宋体" w:eastAsia="楷体_GB2312"/>
      <w:b/>
      <w:bCs/>
      <w:sz w:val="30"/>
      <w:szCs w:val="24"/>
    </w:rPr>
  </w:style>
  <w:style w:type="paragraph" w:customStyle="1" w:styleId="430">
    <w:name w:val="修订1"/>
    <w:qFormat/>
    <w:uiPriority w:val="99"/>
    <w:rPr>
      <w:rFonts w:ascii="Times New Roman" w:hAnsi="Times New Roman" w:eastAsia="仿宋_GB2312" w:cs="Times New Roman"/>
      <w:kern w:val="2"/>
      <w:sz w:val="28"/>
      <w:szCs w:val="24"/>
      <w:lang w:val="en-US" w:eastAsia="zh-CN" w:bidi="ar-SA"/>
    </w:rPr>
  </w:style>
  <w:style w:type="paragraph" w:customStyle="1" w:styleId="431">
    <w:name w:val="Char2"/>
    <w:basedOn w:val="27"/>
    <w:qFormat/>
    <w:uiPriority w:val="0"/>
    <w:pPr>
      <w:adjustRightInd w:val="0"/>
      <w:snapToGrid w:val="0"/>
      <w:spacing w:line="360" w:lineRule="auto"/>
    </w:pPr>
    <w:rPr>
      <w:rFonts w:ascii="Tahoma" w:hAnsi="Tahoma" w:eastAsia="仿宋_GB2312"/>
      <w:kern w:val="0"/>
      <w:sz w:val="28"/>
      <w:szCs w:val="24"/>
      <w:shd w:val="clear" w:color="auto" w:fill="000080"/>
    </w:rPr>
  </w:style>
  <w:style w:type="paragraph" w:customStyle="1" w:styleId="432">
    <w:name w:val="样式5"/>
    <w:basedOn w:val="1"/>
    <w:link w:val="1085"/>
    <w:qFormat/>
    <w:uiPriority w:val="0"/>
    <w:pPr>
      <w:snapToGrid w:val="0"/>
      <w:spacing w:line="360" w:lineRule="auto"/>
      <w:ind w:firstLine="200" w:firstLineChars="200"/>
      <w:jc w:val="left"/>
      <w:outlineLvl w:val="2"/>
    </w:pPr>
    <w:rPr>
      <w:rFonts w:ascii="宋体" w:hAnsi="宋体"/>
      <w:sz w:val="24"/>
    </w:rPr>
  </w:style>
  <w:style w:type="paragraph" w:customStyle="1" w:styleId="433">
    <w:name w:val="样式 样式 样式 样式 正文缩进s4 + 首行缩进:  2 字符 + 首行缩进:  2 字符 + + 首行缩进:  2 字符1"/>
    <w:basedOn w:val="1"/>
    <w:qFormat/>
    <w:uiPriority w:val="0"/>
    <w:pPr>
      <w:tabs>
        <w:tab w:val="left" w:pos="2940"/>
      </w:tabs>
      <w:adjustRightInd w:val="0"/>
      <w:snapToGrid w:val="0"/>
      <w:spacing w:line="360" w:lineRule="auto"/>
      <w:ind w:firstLine="200" w:firstLineChars="200"/>
    </w:pPr>
    <w:rPr>
      <w:rFonts w:cs="宋体"/>
      <w:snapToGrid w:val="0"/>
      <w:kern w:val="16"/>
      <w:sz w:val="24"/>
    </w:rPr>
  </w:style>
  <w:style w:type="paragraph" w:customStyle="1" w:styleId="434">
    <w:name w:val="样式 样式 正文 + 仿宋_GB2312 自动设置 首行缩进:  2 字符"/>
    <w:basedOn w:val="1"/>
    <w:qFormat/>
    <w:uiPriority w:val="0"/>
    <w:pPr>
      <w:adjustRightInd w:val="0"/>
      <w:snapToGrid w:val="0"/>
      <w:spacing w:before="120" w:after="120"/>
      <w:jc w:val="center"/>
    </w:pPr>
    <w:rPr>
      <w:rFonts w:ascii="宋体" w:hAnsi="宋体" w:cs="宋体"/>
      <w:snapToGrid w:val="0"/>
      <w:sz w:val="24"/>
      <w:szCs w:val="24"/>
    </w:rPr>
  </w:style>
  <w:style w:type="paragraph" w:customStyle="1" w:styleId="435">
    <w:name w:val="Char Char3 Char Char Char Char Char Char1 Char Char Char1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36">
    <w:name w:val="Char Char3 Char Char Char Char"/>
    <w:basedOn w:val="27"/>
    <w:qFormat/>
    <w:uiPriority w:val="0"/>
    <w:pPr>
      <w:adjustRightInd w:val="0"/>
      <w:snapToGrid w:val="0"/>
      <w:spacing w:line="360" w:lineRule="auto"/>
    </w:pPr>
    <w:rPr>
      <w:rFonts w:ascii="Tahoma" w:hAnsi="Tahoma" w:eastAsia="仿宋_GB2312"/>
      <w:kern w:val="0"/>
      <w:sz w:val="28"/>
      <w:szCs w:val="24"/>
      <w:shd w:val="clear" w:color="auto" w:fill="000080"/>
    </w:rPr>
  </w:style>
  <w:style w:type="paragraph" w:customStyle="1" w:styleId="437">
    <w:name w:val="样式 样式 正文文本缩进 + 仿宋_GB2312 四号 段后: 0 磅 行距: 1.5 倍行距 + 首行缩进:  2 字符"/>
    <w:basedOn w:val="1"/>
    <w:link w:val="587"/>
    <w:qFormat/>
    <w:uiPriority w:val="0"/>
    <w:pPr>
      <w:adjustRightInd w:val="0"/>
      <w:snapToGrid w:val="0"/>
      <w:spacing w:line="360" w:lineRule="auto"/>
      <w:jc w:val="center"/>
    </w:pPr>
    <w:rPr>
      <w:rFonts w:ascii="仿宋_GB2312" w:hAnsi="仿宋_GB2312" w:cs="宋体"/>
      <w:sz w:val="24"/>
    </w:rPr>
  </w:style>
  <w:style w:type="paragraph" w:customStyle="1" w:styleId="438">
    <w:name w:val="0"/>
    <w:basedOn w:val="1"/>
    <w:qFormat/>
    <w:uiPriority w:val="0"/>
    <w:pPr>
      <w:widowControl/>
      <w:snapToGrid w:val="0"/>
      <w:spacing w:line="240" w:lineRule="atLeast"/>
    </w:pPr>
    <w:rPr>
      <w:kern w:val="0"/>
      <w:sz w:val="32"/>
      <w:szCs w:val="32"/>
    </w:rPr>
  </w:style>
  <w:style w:type="paragraph" w:customStyle="1" w:styleId="439">
    <w:name w:val="Char3"/>
    <w:basedOn w:val="27"/>
    <w:qFormat/>
    <w:uiPriority w:val="0"/>
    <w:pPr>
      <w:adjustRightInd w:val="0"/>
      <w:snapToGrid w:val="0"/>
      <w:spacing w:line="360" w:lineRule="auto"/>
    </w:pPr>
    <w:rPr>
      <w:rFonts w:ascii="Tahoma" w:hAnsi="Tahoma" w:eastAsia="仿宋_GB2312"/>
      <w:kern w:val="0"/>
      <w:sz w:val="28"/>
      <w:szCs w:val="24"/>
      <w:shd w:val="clear" w:color="auto" w:fill="000080"/>
    </w:rPr>
  </w:style>
  <w:style w:type="paragraph" w:customStyle="1" w:styleId="440">
    <w:name w:val="样式 题注 + 首行缩进:  2 字符"/>
    <w:basedOn w:val="23"/>
    <w:qFormat/>
    <w:uiPriority w:val="0"/>
    <w:pPr>
      <w:adjustRightInd/>
      <w:snapToGrid/>
      <w:spacing w:before="0" w:after="0" w:line="300" w:lineRule="auto"/>
      <w:ind w:firstLine="210" w:firstLineChars="100"/>
      <w:textAlignment w:val="auto"/>
    </w:pPr>
    <w:rPr>
      <w:rFonts w:eastAsia="黑体" w:cs="宋体"/>
      <w:sz w:val="21"/>
      <w:szCs w:val="21"/>
    </w:rPr>
  </w:style>
  <w:style w:type="paragraph" w:customStyle="1" w:styleId="441">
    <w:name w:val="Char Char6 Char Char Char Char Char Char Char Char Char Char2"/>
    <w:basedOn w:val="1"/>
    <w:qFormat/>
    <w:uiPriority w:val="0"/>
    <w:pPr>
      <w:spacing w:line="360" w:lineRule="auto"/>
      <w:ind w:firstLine="200" w:firstLineChars="200"/>
    </w:pPr>
    <w:rPr>
      <w:rFonts w:ascii="宋体" w:hAnsi="宋体" w:cs="宋体"/>
      <w:sz w:val="24"/>
      <w:szCs w:val="24"/>
    </w:rPr>
  </w:style>
  <w:style w:type="paragraph" w:customStyle="1" w:styleId="442">
    <w:name w:val="Char Char3 Char Char Char Char Char Char1 Char Char Char1 Char Char Char Char1"/>
    <w:basedOn w:val="1"/>
    <w:qFormat/>
    <w:uiPriority w:val="0"/>
    <w:pPr>
      <w:spacing w:line="360" w:lineRule="auto"/>
      <w:ind w:firstLine="200" w:firstLineChars="200"/>
    </w:pPr>
    <w:rPr>
      <w:rFonts w:ascii="宋体" w:hAnsi="宋体" w:cs="宋体"/>
      <w:sz w:val="24"/>
      <w:szCs w:val="24"/>
    </w:rPr>
  </w:style>
  <w:style w:type="paragraph" w:customStyle="1" w:styleId="443">
    <w:name w:val="Char Char2 Char Char"/>
    <w:basedOn w:val="1"/>
    <w:qFormat/>
    <w:uiPriority w:val="0"/>
    <w:pPr>
      <w:spacing w:line="360" w:lineRule="auto"/>
      <w:ind w:firstLine="200" w:firstLineChars="200"/>
    </w:pPr>
    <w:rPr>
      <w:rFonts w:ascii="宋体" w:hAnsi="宋体" w:cs="宋体"/>
      <w:sz w:val="24"/>
      <w:szCs w:val="24"/>
    </w:rPr>
  </w:style>
  <w:style w:type="paragraph" w:customStyle="1" w:styleId="444">
    <w:name w:val="样式 正文文本缩进 + 仿宋_GB2312 四号 段后: 0 磅 行距: 1.5 倍行距1"/>
    <w:basedOn w:val="3"/>
    <w:qFormat/>
    <w:uiPriority w:val="0"/>
    <w:pPr>
      <w:adjustRightInd w:val="0"/>
      <w:ind w:firstLine="200" w:firstLineChars="200"/>
    </w:pPr>
    <w:rPr>
      <w:rFonts w:ascii="仿宋_GB2312" w:eastAsia="仿宋_GB2312" w:cs="宋体"/>
      <w:color w:val="auto"/>
      <w:kern w:val="0"/>
      <w:sz w:val="28"/>
    </w:rPr>
  </w:style>
  <w:style w:type="paragraph" w:customStyle="1" w:styleId="445">
    <w:name w:val="Char Char1 Char1"/>
    <w:basedOn w:val="1"/>
    <w:qFormat/>
    <w:uiPriority w:val="0"/>
    <w:pPr>
      <w:spacing w:line="360" w:lineRule="auto"/>
      <w:ind w:firstLine="200" w:firstLineChars="200"/>
    </w:pPr>
    <w:rPr>
      <w:rFonts w:ascii="宋体" w:hAnsi="宋体" w:cs="宋体"/>
      <w:sz w:val="24"/>
      <w:szCs w:val="24"/>
    </w:rPr>
  </w:style>
  <w:style w:type="paragraph" w:customStyle="1" w:styleId="446">
    <w:name w:val="表格（小）"/>
    <w:basedOn w:val="1"/>
    <w:qFormat/>
    <w:uiPriority w:val="0"/>
    <w:pPr>
      <w:adjustRightInd w:val="0"/>
      <w:snapToGrid w:val="0"/>
    </w:pPr>
    <w:rPr>
      <w:snapToGrid w:val="0"/>
      <w:kern w:val="0"/>
    </w:rPr>
  </w:style>
  <w:style w:type="paragraph" w:customStyle="1" w:styleId="447">
    <w:name w:val="Char2 Char Char Char Char Char Char"/>
    <w:basedOn w:val="27"/>
    <w:qFormat/>
    <w:uiPriority w:val="0"/>
    <w:pPr>
      <w:adjustRightInd w:val="0"/>
      <w:snapToGrid w:val="0"/>
      <w:spacing w:line="360" w:lineRule="auto"/>
    </w:pPr>
    <w:rPr>
      <w:rFonts w:ascii="Tahoma" w:hAnsi="Tahoma" w:eastAsia="仿宋_GB2312"/>
      <w:kern w:val="0"/>
      <w:sz w:val="28"/>
      <w:szCs w:val="24"/>
      <w:shd w:val="clear" w:color="auto" w:fill="000080"/>
    </w:rPr>
  </w:style>
  <w:style w:type="paragraph" w:customStyle="1" w:styleId="448">
    <w:name w:val="Char Char6 Char Char Char Char Char Char Char Char Char1 Char"/>
    <w:basedOn w:val="1"/>
    <w:qFormat/>
    <w:uiPriority w:val="0"/>
    <w:pPr>
      <w:spacing w:line="360" w:lineRule="auto"/>
      <w:ind w:firstLine="200" w:firstLineChars="200"/>
    </w:pPr>
    <w:rPr>
      <w:rFonts w:ascii="宋体" w:hAnsi="宋体" w:cs="宋体"/>
      <w:sz w:val="24"/>
      <w:szCs w:val="24"/>
    </w:rPr>
  </w:style>
  <w:style w:type="paragraph" w:customStyle="1" w:styleId="449">
    <w:name w:val="样式 样式 正文文本缩进 + 仿宋_GB2312 四号 段后: 0 磅 行距: 1.5 倍行距 + (符号) Times New..."/>
    <w:basedOn w:val="1"/>
    <w:qFormat/>
    <w:uiPriority w:val="0"/>
    <w:pPr>
      <w:adjustRightInd w:val="0"/>
      <w:snapToGrid w:val="0"/>
      <w:spacing w:line="360" w:lineRule="auto"/>
      <w:ind w:firstLine="560" w:firstLineChars="200"/>
    </w:pPr>
    <w:rPr>
      <w:rFonts w:ascii="仿宋_GB2312" w:cs="宋体"/>
      <w:kern w:val="0"/>
      <w:sz w:val="24"/>
    </w:rPr>
  </w:style>
  <w:style w:type="paragraph" w:customStyle="1" w:styleId="450">
    <w:name w:val="正文1 Char"/>
    <w:basedOn w:val="1"/>
    <w:qFormat/>
    <w:uiPriority w:val="0"/>
    <w:rPr>
      <w:szCs w:val="24"/>
    </w:rPr>
  </w:style>
  <w:style w:type="paragraph" w:customStyle="1" w:styleId="451">
    <w:name w:val="样式 题注1 + 两端对齐"/>
    <w:basedOn w:val="1"/>
    <w:qFormat/>
    <w:uiPriority w:val="0"/>
    <w:pPr>
      <w:keepNext/>
      <w:shd w:val="clear" w:color="auto" w:fill="FFFFFF"/>
      <w:ind w:firstLine="105" w:firstLineChars="50"/>
    </w:pPr>
    <w:rPr>
      <w:rFonts w:ascii="黑体" w:hAnsi="宋体" w:eastAsia="黑体" w:cs="宋体"/>
    </w:rPr>
  </w:style>
  <w:style w:type="paragraph" w:customStyle="1" w:styleId="452">
    <w:name w:val="公示内容"/>
    <w:basedOn w:val="44"/>
    <w:qFormat/>
    <w:uiPriority w:val="0"/>
    <w:pPr>
      <w:adjustRightInd w:val="0"/>
      <w:snapToGrid w:val="0"/>
      <w:ind w:firstLine="200" w:firstLineChars="200"/>
    </w:pPr>
    <w:rPr>
      <w:kern w:val="0"/>
      <w:sz w:val="24"/>
      <w:szCs w:val="21"/>
    </w:rPr>
  </w:style>
  <w:style w:type="paragraph" w:customStyle="1" w:styleId="453">
    <w:name w:val="公参--表格"/>
    <w:basedOn w:val="1"/>
    <w:qFormat/>
    <w:uiPriority w:val="0"/>
    <w:pPr>
      <w:adjustRightInd w:val="0"/>
      <w:snapToGrid w:val="0"/>
      <w:jc w:val="left"/>
    </w:pPr>
  </w:style>
  <w:style w:type="paragraph" w:customStyle="1" w:styleId="454">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5">
    <w:name w:val="表格文字+右对齐"/>
    <w:basedOn w:val="1"/>
    <w:qFormat/>
    <w:uiPriority w:val="0"/>
    <w:pPr>
      <w:shd w:val="clear" w:color="auto" w:fill="FFFFFF"/>
      <w:jc w:val="right"/>
    </w:pPr>
    <w:rPr>
      <w:szCs w:val="21"/>
    </w:rPr>
  </w:style>
  <w:style w:type="paragraph" w:customStyle="1" w:styleId="456">
    <w:name w:val="表格文字3"/>
    <w:basedOn w:val="1"/>
    <w:qFormat/>
    <w:uiPriority w:val="0"/>
    <w:pPr>
      <w:snapToGrid w:val="0"/>
      <w:ind w:left="210" w:leftChars="75"/>
    </w:pPr>
    <w:rPr>
      <w:rFonts w:ascii="宋体" w:hAnsi="宋体" w:cs="Arial"/>
      <w:szCs w:val="21"/>
    </w:rPr>
  </w:style>
  <w:style w:type="paragraph" w:customStyle="1" w:styleId="457">
    <w:name w:val="公参--表格（居中）"/>
    <w:basedOn w:val="453"/>
    <w:qFormat/>
    <w:uiPriority w:val="0"/>
    <w:pPr>
      <w:jc w:val="center"/>
    </w:pPr>
  </w:style>
  <w:style w:type="paragraph" w:customStyle="1" w:styleId="458">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59">
    <w:name w:val="zw Char"/>
    <w:qFormat/>
    <w:uiPriority w:val="0"/>
    <w:rPr>
      <w:rFonts w:ascii="Times New Roman" w:hAnsi="Times New Roman" w:eastAsia="宋体" w:cs="Times New Roman"/>
      <w:snapToGrid/>
      <w:kern w:val="0"/>
      <w:sz w:val="24"/>
      <w:szCs w:val="24"/>
      <w:shd w:val="clear" w:color="auto" w:fill="FFFFFF"/>
    </w:rPr>
  </w:style>
  <w:style w:type="character" w:customStyle="1" w:styleId="460">
    <w:name w:val="表格文字 Char"/>
    <w:qFormat/>
    <w:uiPriority w:val="0"/>
    <w:rPr>
      <w:rFonts w:ascii="宋体" w:hAnsi="宋体" w:eastAsia="宋体" w:cs="Times New Roman"/>
      <w:kern w:val="0"/>
      <w:szCs w:val="20"/>
    </w:rPr>
  </w:style>
  <w:style w:type="paragraph" w:customStyle="1" w:styleId="461">
    <w:name w:val="基本情况表"/>
    <w:basedOn w:val="1"/>
    <w:qFormat/>
    <w:uiPriority w:val="0"/>
    <w:pPr>
      <w:adjustRightInd w:val="0"/>
      <w:snapToGrid w:val="0"/>
    </w:pPr>
    <w:rPr>
      <w:sz w:val="24"/>
      <w:szCs w:val="24"/>
    </w:rPr>
  </w:style>
  <w:style w:type="paragraph" w:customStyle="1" w:styleId="462">
    <w:name w:val="楷体小四加粗居中"/>
    <w:basedOn w:val="44"/>
    <w:qFormat/>
    <w:uiPriority w:val="0"/>
    <w:pPr>
      <w:adjustRightInd w:val="0"/>
      <w:snapToGrid w:val="0"/>
      <w:jc w:val="center"/>
    </w:pPr>
    <w:rPr>
      <w:rFonts w:ascii="Times New Roman" w:hAnsi="Times New Roman" w:eastAsia="楷体_GB2312" w:cs="Arial"/>
      <w:b/>
      <w:kern w:val="0"/>
      <w:sz w:val="24"/>
      <w:szCs w:val="24"/>
    </w:rPr>
  </w:style>
  <w:style w:type="paragraph" w:customStyle="1" w:styleId="463">
    <w:name w:val="样式 公示内容 + 首行缩进:  2 字符"/>
    <w:basedOn w:val="452"/>
    <w:next w:val="452"/>
    <w:qFormat/>
    <w:uiPriority w:val="0"/>
    <w:pPr>
      <w:ind w:firstLine="560"/>
    </w:pPr>
    <w:rPr>
      <w:rFonts w:cs="宋体"/>
      <w:szCs w:val="20"/>
    </w:rPr>
  </w:style>
  <w:style w:type="paragraph" w:customStyle="1" w:styleId="464">
    <w:name w:val="公参--内容"/>
    <w:basedOn w:val="44"/>
    <w:qFormat/>
    <w:uiPriority w:val="0"/>
    <w:pPr>
      <w:adjustRightInd w:val="0"/>
      <w:snapToGrid w:val="0"/>
      <w:ind w:firstLine="200" w:firstLineChars="200"/>
      <w:jc w:val="left"/>
    </w:pPr>
    <w:rPr>
      <w:kern w:val="0"/>
      <w:szCs w:val="21"/>
    </w:rPr>
  </w:style>
  <w:style w:type="character" w:customStyle="1" w:styleId="465">
    <w:name w:val="表中文字 Char Char"/>
    <w:qFormat/>
    <w:uiPriority w:val="0"/>
    <w:rPr>
      <w:rFonts w:ascii="Times New Roman" w:hAnsi="Times New Roman" w:eastAsia="仿宋_GB2312" w:cs="Times New Roman"/>
      <w:sz w:val="28"/>
      <w:szCs w:val="24"/>
    </w:rPr>
  </w:style>
  <w:style w:type="paragraph" w:customStyle="1" w:styleId="466">
    <w:name w:val="三级"/>
    <w:basedOn w:val="1"/>
    <w:next w:val="384"/>
    <w:qFormat/>
    <w:uiPriority w:val="0"/>
    <w:pPr>
      <w:shd w:val="clear" w:color="auto" w:fill="FFFFFF"/>
      <w:adjustRightInd w:val="0"/>
      <w:snapToGrid w:val="0"/>
      <w:spacing w:line="300" w:lineRule="auto"/>
      <w:jc w:val="left"/>
    </w:pPr>
    <w:rPr>
      <w:rFonts w:eastAsia="楷体_GB2312"/>
      <w:b/>
      <w:bCs/>
      <w:snapToGrid w:val="0"/>
      <w:kern w:val="0"/>
      <w:sz w:val="28"/>
      <w:szCs w:val="28"/>
    </w:rPr>
  </w:style>
  <w:style w:type="paragraph" w:customStyle="1" w:styleId="467">
    <w:name w:val="修改索引"/>
    <w:basedOn w:val="44"/>
    <w:qFormat/>
    <w:uiPriority w:val="0"/>
    <w:pPr>
      <w:adjustRightInd w:val="0"/>
      <w:snapToGrid w:val="0"/>
      <w:jc w:val="left"/>
    </w:pPr>
    <w:rPr>
      <w:rFonts w:ascii="Arial" w:hAnsi="Arial" w:cs="宋体"/>
      <w:sz w:val="24"/>
    </w:rPr>
  </w:style>
  <w:style w:type="character" w:customStyle="1" w:styleId="468">
    <w:name w:val="样式 zw + 图案: 清除 Char"/>
    <w:link w:val="469"/>
    <w:qFormat/>
    <w:uiPriority w:val="0"/>
    <w:rPr>
      <w:rFonts w:ascii="ˎ̥" w:hAnsi="ˎ̥" w:cs="宋体"/>
      <w:bCs/>
      <w:snapToGrid w:val="0"/>
      <w:color w:val="51585D"/>
      <w:sz w:val="24"/>
      <w:szCs w:val="24"/>
    </w:rPr>
  </w:style>
  <w:style w:type="paragraph" w:customStyle="1" w:styleId="469">
    <w:name w:val="样式 zw + 图案: 清除"/>
    <w:basedOn w:val="384"/>
    <w:link w:val="468"/>
    <w:qFormat/>
    <w:uiPriority w:val="0"/>
    <w:pPr>
      <w:shd w:val="clear" w:color="auto" w:fill="auto"/>
    </w:pPr>
    <w:rPr>
      <w:rFonts w:ascii="ˎ̥" w:hAnsi="ˎ̥" w:cs="宋体" w:eastAsiaTheme="minorEastAsia"/>
      <w:bCs/>
      <w:snapToGrid w:val="0"/>
      <w:color w:val="51585D"/>
      <w:kern w:val="2"/>
      <w:shd w:val="clear" w:color="auto" w:fill="auto"/>
    </w:rPr>
  </w:style>
  <w:style w:type="paragraph" w:customStyle="1" w:styleId="470">
    <w:name w:val="编制日期"/>
    <w:basedOn w:val="1"/>
    <w:next w:val="384"/>
    <w:qFormat/>
    <w:uiPriority w:val="0"/>
    <w:pPr>
      <w:jc w:val="center"/>
    </w:pPr>
    <w:rPr>
      <w:rFonts w:eastAsia="仿宋_GB2312"/>
      <w:sz w:val="32"/>
      <w:szCs w:val="24"/>
    </w:rPr>
  </w:style>
  <w:style w:type="character" w:customStyle="1" w:styleId="471">
    <w:name w:val="项目编号 Char"/>
    <w:link w:val="472"/>
    <w:qFormat/>
    <w:locked/>
    <w:uiPriority w:val="0"/>
    <w:rPr>
      <w:rFonts w:ascii="Times New Roman" w:hAnsi="Times New Roman" w:eastAsia="仿宋_GB2312"/>
      <w:b/>
      <w:bCs/>
      <w:sz w:val="28"/>
      <w:szCs w:val="28"/>
    </w:rPr>
  </w:style>
  <w:style w:type="paragraph" w:customStyle="1" w:styleId="472">
    <w:name w:val="项目编号"/>
    <w:basedOn w:val="1"/>
    <w:next w:val="1"/>
    <w:link w:val="471"/>
    <w:qFormat/>
    <w:uiPriority w:val="0"/>
    <w:rPr>
      <w:rFonts w:eastAsia="仿宋_GB2312" w:cstheme="minorBidi"/>
      <w:b/>
      <w:bCs/>
      <w:sz w:val="28"/>
      <w:szCs w:val="28"/>
    </w:rPr>
  </w:style>
  <w:style w:type="character" w:customStyle="1" w:styleId="473">
    <w:name w:val="zw居中 Char"/>
    <w:qFormat/>
    <w:locked/>
    <w:uiPriority w:val="0"/>
    <w:rPr>
      <w:rFonts w:ascii="Arial Unicode MS" w:hAnsi="Arial Unicode MS" w:eastAsia="Arial Unicode MS" w:cs="Arial Unicode MS"/>
      <w:kern w:val="2"/>
      <w:sz w:val="24"/>
      <w:szCs w:val="24"/>
    </w:rPr>
  </w:style>
  <w:style w:type="character" w:customStyle="1" w:styleId="474">
    <w:name w:val="我的正文 Char"/>
    <w:link w:val="475"/>
    <w:qFormat/>
    <w:uiPriority w:val="0"/>
    <w:rPr>
      <w:bCs/>
      <w:snapToGrid w:val="0"/>
      <w:sz w:val="24"/>
      <w:szCs w:val="24"/>
    </w:rPr>
  </w:style>
  <w:style w:type="paragraph" w:customStyle="1" w:styleId="475">
    <w:name w:val="我的正文"/>
    <w:link w:val="474"/>
    <w:qFormat/>
    <w:uiPriority w:val="0"/>
    <w:pPr>
      <w:widowControl w:val="0"/>
      <w:adjustRightInd w:val="0"/>
      <w:spacing w:line="360" w:lineRule="auto"/>
      <w:ind w:firstLine="480" w:firstLineChars="200"/>
      <w:jc w:val="both"/>
    </w:pPr>
    <w:rPr>
      <w:rFonts w:asciiTheme="minorHAnsi" w:hAnsiTheme="minorHAnsi" w:eastAsiaTheme="minorEastAsia" w:cstheme="minorBidi"/>
      <w:bCs/>
      <w:snapToGrid w:val="0"/>
      <w:kern w:val="2"/>
      <w:sz w:val="24"/>
      <w:szCs w:val="24"/>
      <w:lang w:val="en-US" w:eastAsia="zh-CN" w:bidi="ar-SA"/>
    </w:rPr>
  </w:style>
  <w:style w:type="paragraph" w:customStyle="1" w:styleId="476">
    <w:name w:val="z3"/>
    <w:basedOn w:val="1"/>
    <w:qFormat/>
    <w:uiPriority w:val="0"/>
    <w:pPr>
      <w:spacing w:line="520" w:lineRule="exact"/>
      <w:jc w:val="left"/>
      <w:outlineLvl w:val="2"/>
    </w:pPr>
    <w:rPr>
      <w:rFonts w:ascii="宋体"/>
      <w:sz w:val="28"/>
      <w:szCs w:val="24"/>
    </w:rPr>
  </w:style>
  <w:style w:type="paragraph" w:customStyle="1" w:styleId="477">
    <w:name w:val="中南院正文"/>
    <w:basedOn w:val="1"/>
    <w:qFormat/>
    <w:uiPriority w:val="0"/>
    <w:pPr>
      <w:spacing w:line="360" w:lineRule="auto"/>
      <w:ind w:firstLine="200" w:firstLineChars="200"/>
    </w:pPr>
    <w:rPr>
      <w:rFonts w:cs="宋体"/>
      <w:kern w:val="0"/>
      <w:sz w:val="24"/>
      <w:szCs w:val="24"/>
    </w:rPr>
  </w:style>
  <w:style w:type="paragraph" w:customStyle="1" w:styleId="478">
    <w:name w:val="题注 + 居中"/>
    <w:basedOn w:val="23"/>
    <w:next w:val="384"/>
    <w:qFormat/>
    <w:uiPriority w:val="0"/>
    <w:pPr>
      <w:widowControl/>
      <w:adjustRightInd/>
      <w:snapToGrid/>
      <w:spacing w:before="0" w:after="0"/>
      <w:ind w:firstLine="0" w:firstLineChars="0"/>
      <w:jc w:val="center"/>
      <w:textAlignment w:val="auto"/>
    </w:pPr>
    <w:rPr>
      <w:rFonts w:eastAsia="黑体" w:cs="宋体"/>
      <w:snapToGrid w:val="0"/>
      <w:kern w:val="2"/>
      <w:sz w:val="21"/>
      <w:szCs w:val="21"/>
    </w:rPr>
  </w:style>
  <w:style w:type="paragraph" w:customStyle="1" w:styleId="479">
    <w:name w:val="_Style 80"/>
    <w:basedOn w:val="1"/>
    <w:qFormat/>
    <w:uiPriority w:val="0"/>
    <w:rPr>
      <w:rFonts w:eastAsia="仿宋_GB2312"/>
      <w:sz w:val="32"/>
    </w:rPr>
  </w:style>
  <w:style w:type="paragraph" w:customStyle="1" w:styleId="480">
    <w:name w:val="样式 标题 3二级节名h33rd level3l3Level 3 HeadH3heading 3Heading..."/>
    <w:basedOn w:val="8"/>
    <w:qFormat/>
    <w:uiPriority w:val="0"/>
    <w:pPr>
      <w:keepNext w:val="0"/>
      <w:keepLines w:val="0"/>
      <w:tabs>
        <w:tab w:val="left" w:pos="840"/>
      </w:tabs>
      <w:adjustRightInd w:val="0"/>
      <w:snapToGrid w:val="0"/>
      <w:spacing w:before="60" w:after="60" w:line="360" w:lineRule="auto"/>
      <w:ind w:left="840" w:hanging="840"/>
    </w:pPr>
    <w:rPr>
      <w:b w:val="0"/>
      <w:bCs w:val="0"/>
      <w:sz w:val="26"/>
      <w:szCs w:val="20"/>
    </w:rPr>
  </w:style>
  <w:style w:type="paragraph" w:styleId="481">
    <w:name w:val="No Spacing"/>
    <w:qFormat/>
    <w:uiPriority w:val="1"/>
    <w:pPr>
      <w:widowControl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customStyle="1" w:styleId="482">
    <w:name w:val="可研1.1"/>
    <w:basedOn w:val="1"/>
    <w:qFormat/>
    <w:uiPriority w:val="0"/>
    <w:pPr>
      <w:adjustRightInd w:val="0"/>
      <w:snapToGrid w:val="0"/>
      <w:spacing w:beforeLines="50"/>
      <w:ind w:firstLine="482"/>
      <w:outlineLvl w:val="3"/>
    </w:pPr>
    <w:rPr>
      <w:rFonts w:ascii="仿宋_GB2312" w:hAnsi="仿宋_GB2312" w:eastAsia="仿宋_GB2312" w:cs="仿宋_GB2312"/>
      <w:b/>
      <w:bCs/>
      <w:sz w:val="24"/>
      <w:szCs w:val="24"/>
    </w:rPr>
  </w:style>
  <w:style w:type="paragraph" w:customStyle="1" w:styleId="483">
    <w:name w:val="TOC 标题2"/>
    <w:basedOn w:val="5"/>
    <w:next w:val="1"/>
    <w:qFormat/>
    <w:uiPriority w:val="39"/>
    <w:pPr>
      <w:keepLines/>
      <w:widowControl/>
      <w:snapToGrid w:val="0"/>
      <w:spacing w:before="480" w:line="276" w:lineRule="auto"/>
      <w:jc w:val="left"/>
      <w:outlineLvl w:val="9"/>
    </w:pPr>
    <w:rPr>
      <w:rFonts w:ascii="Cambria" w:hAnsi="Cambria" w:eastAsia="黑体"/>
      <w:b/>
      <w:bCs/>
      <w:snapToGrid w:val="0"/>
      <w:color w:val="365F91"/>
      <w:kern w:val="0"/>
      <w:sz w:val="28"/>
      <w:szCs w:val="28"/>
    </w:rPr>
  </w:style>
  <w:style w:type="paragraph" w:customStyle="1" w:styleId="484">
    <w:name w:val="样式 标题 1b1H1章标题 1-*+h11st levelSection Headl1章节标题1标题 1..."/>
    <w:basedOn w:val="5"/>
    <w:qFormat/>
    <w:uiPriority w:val="99"/>
    <w:pPr>
      <w:snapToGrid w:val="0"/>
      <w:spacing w:before="312" w:after="156" w:line="360" w:lineRule="auto"/>
      <w:jc w:val="left"/>
    </w:pPr>
    <w:rPr>
      <w:rFonts w:eastAsia="黑体" w:cs="宋体"/>
      <w:b/>
      <w:bCs/>
      <w:snapToGrid w:val="0"/>
      <w:kern w:val="0"/>
      <w:sz w:val="30"/>
    </w:rPr>
  </w:style>
  <w:style w:type="character" w:customStyle="1" w:styleId="485">
    <w:name w:val="标题2 Char"/>
    <w:link w:val="399"/>
    <w:qFormat/>
    <w:locked/>
    <w:uiPriority w:val="99"/>
    <w:rPr>
      <w:rFonts w:ascii="Times New Roman" w:hAnsi="Times New Roman" w:eastAsia="宋体" w:cs="Times New Roman"/>
      <w:color w:val="FF0000"/>
      <w:sz w:val="30"/>
      <w:szCs w:val="24"/>
    </w:rPr>
  </w:style>
  <w:style w:type="paragraph" w:customStyle="1" w:styleId="486">
    <w:name w:val="样式 标题2 + 宋体 四号"/>
    <w:basedOn w:val="1"/>
    <w:next w:val="1"/>
    <w:qFormat/>
    <w:uiPriority w:val="99"/>
    <w:pPr>
      <w:jc w:val="left"/>
    </w:pPr>
    <w:rPr>
      <w:rFonts w:ascii="宋体" w:hAnsi="宋体"/>
      <w:b/>
      <w:bCs/>
      <w:sz w:val="30"/>
      <w:szCs w:val="21"/>
    </w:rPr>
  </w:style>
  <w:style w:type="paragraph" w:customStyle="1" w:styleId="487">
    <w:name w:val="样式 标题 2"/>
    <w:basedOn w:val="6"/>
    <w:next w:val="1"/>
    <w:link w:val="488"/>
    <w:qFormat/>
    <w:uiPriority w:val="99"/>
    <w:pPr>
      <w:keepLines/>
      <w:spacing w:before="260" w:after="260" w:line="416" w:lineRule="auto"/>
      <w:jc w:val="left"/>
    </w:pPr>
    <w:rPr>
      <w:rFonts w:ascii="Cambria" w:hAnsi="Cambria"/>
      <w:b/>
      <w:bCs/>
      <w:color w:val="000000"/>
      <w:sz w:val="32"/>
      <w:szCs w:val="32"/>
    </w:rPr>
  </w:style>
  <w:style w:type="character" w:customStyle="1" w:styleId="488">
    <w:name w:val="样式 标题 2 Char"/>
    <w:link w:val="487"/>
    <w:qFormat/>
    <w:locked/>
    <w:uiPriority w:val="99"/>
    <w:rPr>
      <w:rFonts w:ascii="Cambria" w:hAnsi="Cambria" w:eastAsia="宋体" w:cs="Times New Roman"/>
      <w:b/>
      <w:bCs/>
      <w:color w:val="000000"/>
      <w:sz w:val="32"/>
      <w:szCs w:val="32"/>
    </w:rPr>
  </w:style>
  <w:style w:type="character" w:customStyle="1" w:styleId="489">
    <w:name w:val="页眉 Char1"/>
    <w:qFormat/>
    <w:uiPriority w:val="0"/>
    <w:rPr>
      <w:rFonts w:cs="Times New Roman"/>
      <w:kern w:val="2"/>
      <w:sz w:val="18"/>
      <w:szCs w:val="18"/>
    </w:rPr>
  </w:style>
  <w:style w:type="paragraph" w:customStyle="1" w:styleId="490">
    <w:name w:val="Char11"/>
    <w:basedOn w:val="1"/>
    <w:qFormat/>
    <w:uiPriority w:val="99"/>
    <w:rPr>
      <w:szCs w:val="24"/>
    </w:rPr>
  </w:style>
  <w:style w:type="character" w:customStyle="1" w:styleId="491">
    <w:name w:val="正文文本缩进 2 Char1"/>
    <w:basedOn w:val="131"/>
    <w:semiHidden/>
    <w:qFormat/>
    <w:uiPriority w:val="0"/>
    <w:rPr>
      <w:rFonts w:ascii="Calibri" w:hAnsi="Calibri" w:eastAsia="宋体" w:cs="Times New Roman"/>
    </w:rPr>
  </w:style>
  <w:style w:type="paragraph" w:customStyle="1" w:styleId="492">
    <w:name w:val="默认段落字体 Para Char Char Char Char"/>
    <w:basedOn w:val="1"/>
    <w:qFormat/>
    <w:uiPriority w:val="0"/>
    <w:rPr>
      <w:szCs w:val="24"/>
    </w:rPr>
  </w:style>
  <w:style w:type="character" w:customStyle="1" w:styleId="493">
    <w:name w:val="批注主题 Char1"/>
    <w:basedOn w:val="151"/>
    <w:semiHidden/>
    <w:qFormat/>
    <w:uiPriority w:val="99"/>
    <w:rPr>
      <w:rFonts w:ascii="Calibri" w:hAnsi="Calibri" w:eastAsia="宋体" w:cs="Times New Roman"/>
      <w:b/>
      <w:bCs/>
      <w:kern w:val="0"/>
      <w:sz w:val="20"/>
      <w:szCs w:val="20"/>
    </w:rPr>
  </w:style>
  <w:style w:type="paragraph" w:customStyle="1" w:styleId="494">
    <w:name w:val="Char Char Char Char1 Char Char"/>
    <w:basedOn w:val="1"/>
    <w:qFormat/>
    <w:uiPriority w:val="0"/>
    <w:pPr>
      <w:spacing w:line="360" w:lineRule="auto"/>
      <w:ind w:firstLine="200" w:firstLineChars="200"/>
    </w:pPr>
    <w:rPr>
      <w:rFonts w:ascii="宋体" w:hAnsi="宋体" w:cs="宋体"/>
      <w:sz w:val="24"/>
      <w:szCs w:val="24"/>
    </w:rPr>
  </w:style>
  <w:style w:type="paragraph" w:customStyle="1" w:styleId="495">
    <w:name w:val="Char2 Char Char Char"/>
    <w:basedOn w:val="1"/>
    <w:qFormat/>
    <w:uiPriority w:val="0"/>
    <w:pPr>
      <w:spacing w:line="360" w:lineRule="auto"/>
      <w:ind w:firstLine="200" w:firstLineChars="200"/>
    </w:pPr>
    <w:rPr>
      <w:b/>
      <w:color w:val="000000"/>
      <w:sz w:val="24"/>
      <w:szCs w:val="24"/>
    </w:rPr>
  </w:style>
  <w:style w:type="character" w:customStyle="1" w:styleId="496">
    <w:name w:val="表格 Char"/>
    <w:qFormat/>
    <w:uiPriority w:val="0"/>
    <w:rPr>
      <w:rFonts w:ascii="Arial" w:hAnsi="Arial" w:eastAsia="宋体"/>
      <w:b/>
      <w:snapToGrid w:val="0"/>
      <w:color w:val="000000"/>
      <w:sz w:val="24"/>
      <w:szCs w:val="24"/>
    </w:rPr>
  </w:style>
  <w:style w:type="character" w:customStyle="1" w:styleId="497">
    <w:name w:val="表 Char"/>
    <w:qFormat/>
    <w:uiPriority w:val="0"/>
    <w:rPr>
      <w:rFonts w:ascii="宋体" w:hAnsi="宋体" w:eastAsia="宋体" w:cs="宋体"/>
      <w:color w:val="000000"/>
      <w:kern w:val="0"/>
      <w:szCs w:val="21"/>
    </w:rPr>
  </w:style>
  <w:style w:type="character" w:customStyle="1" w:styleId="498">
    <w:name w:val="电子邮件签名 Char"/>
    <w:basedOn w:val="131"/>
    <w:link w:val="21"/>
    <w:qFormat/>
    <w:uiPriority w:val="0"/>
    <w:rPr>
      <w:rFonts w:ascii="Times New Roman" w:hAnsi="Times New Roman" w:eastAsia="宋体" w:cs="Times New Roman"/>
      <w:szCs w:val="24"/>
    </w:rPr>
  </w:style>
  <w:style w:type="character" w:customStyle="1" w:styleId="499">
    <w:name w:val="尾注文本 Char"/>
    <w:basedOn w:val="131"/>
    <w:link w:val="51"/>
    <w:qFormat/>
    <w:uiPriority w:val="0"/>
    <w:rPr>
      <w:rFonts w:ascii="Times New Roman" w:hAnsi="Times New Roman" w:eastAsia="宋体" w:cs="Times New Roman"/>
      <w:szCs w:val="24"/>
    </w:rPr>
  </w:style>
  <w:style w:type="character" w:customStyle="1" w:styleId="500">
    <w:name w:val="HTML 预设格式 Char"/>
    <w:basedOn w:val="131"/>
    <w:link w:val="79"/>
    <w:qFormat/>
    <w:uiPriority w:val="99"/>
    <w:rPr>
      <w:rFonts w:ascii="宋体" w:hAnsi="宋体" w:eastAsia="宋体" w:cs="宋体"/>
      <w:kern w:val="0"/>
      <w:sz w:val="24"/>
      <w:szCs w:val="24"/>
    </w:rPr>
  </w:style>
  <w:style w:type="table" w:customStyle="1" w:styleId="501">
    <w:name w:val="网格型1"/>
    <w:basedOn w:val="86"/>
    <w:qFormat/>
    <w:uiPriority w:val="59"/>
    <w:pPr>
      <w:widowControl w:val="0"/>
      <w:adjustRightInd w:val="0"/>
      <w:snapToGrid w:val="0"/>
      <w:spacing w:line="360" w:lineRule="auto"/>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02">
    <w:name w:val="zw（两端对齐）"/>
    <w:basedOn w:val="1"/>
    <w:next w:val="1"/>
    <w:qFormat/>
    <w:uiPriority w:val="0"/>
    <w:rPr>
      <w:rFonts w:ascii="宋体" w:hAnsi="宋体" w:eastAsia="仿宋_GB2312" w:cs="宋体"/>
      <w:sz w:val="24"/>
      <w:szCs w:val="21"/>
    </w:rPr>
  </w:style>
  <w:style w:type="paragraph" w:customStyle="1" w:styleId="503">
    <w:name w:val="zw2"/>
    <w:basedOn w:val="1"/>
    <w:qFormat/>
    <w:uiPriority w:val="0"/>
    <w:pPr>
      <w:shd w:val="clear" w:color="auto" w:fill="FFFFFF"/>
      <w:adjustRightInd w:val="0"/>
      <w:snapToGrid w:val="0"/>
      <w:spacing w:afterLines="50" w:line="360" w:lineRule="auto"/>
      <w:jc w:val="center"/>
    </w:pPr>
    <w:rPr>
      <w:rFonts w:ascii="宋体" w:hAnsi="宋体" w:eastAsia="黑体"/>
      <w:color w:val="000000"/>
      <w:sz w:val="20"/>
    </w:rPr>
  </w:style>
  <w:style w:type="paragraph" w:customStyle="1" w:styleId="504">
    <w:name w:val="报告表"/>
    <w:basedOn w:val="1"/>
    <w:next w:val="1"/>
    <w:qFormat/>
    <w:uiPriority w:val="0"/>
    <w:pPr>
      <w:adjustRightInd w:val="0"/>
      <w:snapToGrid w:val="0"/>
      <w:jc w:val="center"/>
    </w:pPr>
    <w:rPr>
      <w:rFonts w:eastAsia="黑体"/>
      <w:b/>
      <w:sz w:val="44"/>
      <w:szCs w:val="24"/>
    </w:rPr>
  </w:style>
  <w:style w:type="character" w:customStyle="1" w:styleId="505">
    <w:name w:val="已访问的超链接1"/>
    <w:qFormat/>
    <w:uiPriority w:val="99"/>
    <w:rPr>
      <w:rFonts w:ascii="宋体" w:hAnsi="宋体" w:eastAsia="仿宋_GB2312" w:cs="宋体"/>
      <w:color w:val="800080"/>
      <w:kern w:val="2"/>
      <w:sz w:val="24"/>
      <w:szCs w:val="24"/>
      <w:u w:val="single"/>
      <w:lang w:val="en-US" w:eastAsia="zh-CN" w:bidi="ar-SA"/>
    </w:rPr>
  </w:style>
  <w:style w:type="paragraph" w:customStyle="1" w:styleId="506">
    <w:name w:val="表文字"/>
    <w:basedOn w:val="1"/>
    <w:link w:val="507"/>
    <w:qFormat/>
    <w:uiPriority w:val="0"/>
    <w:pPr>
      <w:spacing w:line="360" w:lineRule="auto"/>
    </w:pPr>
    <w:rPr>
      <w:rFonts w:ascii="Arial" w:hAnsi="Arial"/>
      <w:szCs w:val="24"/>
    </w:rPr>
  </w:style>
  <w:style w:type="character" w:customStyle="1" w:styleId="507">
    <w:name w:val="表文字 Char"/>
    <w:link w:val="506"/>
    <w:qFormat/>
    <w:uiPriority w:val="0"/>
    <w:rPr>
      <w:rFonts w:ascii="Arial" w:hAnsi="Arial" w:eastAsia="宋体" w:cs="Times New Roman"/>
      <w:szCs w:val="24"/>
    </w:rPr>
  </w:style>
  <w:style w:type="paragraph" w:customStyle="1" w:styleId="508">
    <w:name w:val="编制说明"/>
    <w:basedOn w:val="1"/>
    <w:next w:val="1"/>
    <w:qFormat/>
    <w:uiPriority w:val="0"/>
    <w:pPr>
      <w:spacing w:before="120"/>
      <w:jc w:val="center"/>
    </w:pPr>
    <w:rPr>
      <w:rFonts w:ascii="宋体" w:hAnsi="宋体" w:eastAsia="仿宋_GB2312"/>
      <w:b/>
      <w:sz w:val="32"/>
      <w:szCs w:val="24"/>
    </w:rPr>
  </w:style>
  <w:style w:type="paragraph" w:customStyle="1" w:styleId="509">
    <w:name w:val="样式4"/>
    <w:basedOn w:val="1"/>
    <w:link w:val="510"/>
    <w:qFormat/>
    <w:uiPriority w:val="0"/>
    <w:pPr>
      <w:tabs>
        <w:tab w:val="center" w:pos="4153"/>
        <w:tab w:val="right" w:pos="8306"/>
      </w:tabs>
      <w:snapToGrid w:val="0"/>
      <w:spacing w:line="360" w:lineRule="exact"/>
      <w:jc w:val="center"/>
    </w:pPr>
    <w:rPr>
      <w:rFonts w:ascii="宋体" w:hAnsi="宋体"/>
      <w:sz w:val="18"/>
      <w:szCs w:val="18"/>
    </w:rPr>
  </w:style>
  <w:style w:type="character" w:customStyle="1" w:styleId="510">
    <w:name w:val="样式4 Char"/>
    <w:link w:val="509"/>
    <w:qFormat/>
    <w:uiPriority w:val="0"/>
    <w:rPr>
      <w:rFonts w:ascii="宋体" w:hAnsi="宋体" w:eastAsia="宋体" w:cs="Times New Roman"/>
      <w:sz w:val="18"/>
      <w:szCs w:val="18"/>
    </w:rPr>
  </w:style>
  <w:style w:type="paragraph" w:customStyle="1" w:styleId="511">
    <w:name w:val="表格文字  两端对齐"/>
    <w:basedOn w:val="1"/>
    <w:qFormat/>
    <w:uiPriority w:val="0"/>
    <w:pPr>
      <w:shd w:val="clear" w:color="auto" w:fill="FFFFFF"/>
      <w:adjustRightInd w:val="0"/>
      <w:snapToGrid w:val="0"/>
    </w:pPr>
    <w:rPr>
      <w:szCs w:val="24"/>
    </w:rPr>
  </w:style>
  <w:style w:type="paragraph" w:customStyle="1" w:styleId="512">
    <w:name w:val="样式6"/>
    <w:basedOn w:val="9"/>
    <w:qFormat/>
    <w:uiPriority w:val="0"/>
    <w:pPr>
      <w:tabs>
        <w:tab w:val="left" w:pos="780"/>
        <w:tab w:val="left" w:pos="864"/>
      </w:tabs>
      <w:spacing w:line="360" w:lineRule="auto"/>
      <w:ind w:left="864" w:hanging="864"/>
      <w:jc w:val="left"/>
    </w:pPr>
    <w:rPr>
      <w:i/>
      <w:iCs/>
      <w:color w:val="auto"/>
      <w:sz w:val="28"/>
    </w:rPr>
  </w:style>
  <w:style w:type="paragraph" w:customStyle="1" w:styleId="513">
    <w:name w:val="公示2"/>
    <w:basedOn w:val="1"/>
    <w:qFormat/>
    <w:uiPriority w:val="0"/>
    <w:pPr>
      <w:snapToGrid w:val="0"/>
      <w:spacing w:line="300" w:lineRule="auto"/>
      <w:ind w:firstLine="420" w:firstLineChars="200"/>
      <w:jc w:val="right"/>
    </w:pPr>
    <w:rPr>
      <w:rFonts w:ascii="宋体" w:hAnsi="宋体" w:cs="Arial"/>
      <w:szCs w:val="21"/>
    </w:rPr>
  </w:style>
  <w:style w:type="paragraph" w:customStyle="1" w:styleId="514">
    <w:name w:val="评价单位"/>
    <w:basedOn w:val="1"/>
    <w:qFormat/>
    <w:uiPriority w:val="0"/>
    <w:pPr>
      <w:adjustRightInd w:val="0"/>
      <w:snapToGrid w:val="0"/>
    </w:pPr>
    <w:rPr>
      <w:rFonts w:eastAsia="黑体"/>
      <w:snapToGrid w:val="0"/>
      <w:kern w:val="0"/>
      <w:sz w:val="28"/>
      <w:szCs w:val="28"/>
    </w:rPr>
  </w:style>
  <w:style w:type="paragraph" w:customStyle="1" w:styleId="515">
    <w:name w:val="评价单位2"/>
    <w:basedOn w:val="1"/>
    <w:next w:val="514"/>
    <w:qFormat/>
    <w:uiPriority w:val="0"/>
    <w:rPr>
      <w:rFonts w:eastAsia="仿宋_GB2312"/>
      <w:sz w:val="30"/>
      <w:szCs w:val="24"/>
    </w:rPr>
  </w:style>
  <w:style w:type="paragraph" w:customStyle="1" w:styleId="516">
    <w:name w:val="题注 居中"/>
    <w:basedOn w:val="44"/>
    <w:next w:val="384"/>
    <w:qFormat/>
    <w:uiPriority w:val="0"/>
    <w:pPr>
      <w:autoSpaceDE w:val="0"/>
      <w:autoSpaceDN w:val="0"/>
      <w:adjustRightInd w:val="0"/>
      <w:snapToGrid w:val="0"/>
      <w:spacing w:line="360" w:lineRule="auto"/>
      <w:jc w:val="center"/>
    </w:pPr>
    <w:rPr>
      <w:rFonts w:ascii="Times New Roman" w:hAnsi="Arial"/>
      <w:b/>
      <w:kern w:val="0"/>
      <w:szCs w:val="21"/>
    </w:rPr>
  </w:style>
  <w:style w:type="paragraph" w:customStyle="1" w:styleId="517">
    <w:name w:val="表号"/>
    <w:basedOn w:val="1"/>
    <w:link w:val="518"/>
    <w:qFormat/>
    <w:uiPriority w:val="0"/>
    <w:pPr>
      <w:spacing w:line="440" w:lineRule="exact"/>
      <w:jc w:val="right"/>
    </w:pPr>
    <w:rPr>
      <w:rFonts w:ascii="Arial" w:hAnsi="Arial"/>
      <w:szCs w:val="24"/>
    </w:rPr>
  </w:style>
  <w:style w:type="character" w:customStyle="1" w:styleId="518">
    <w:name w:val="表号 Char"/>
    <w:link w:val="517"/>
    <w:qFormat/>
    <w:uiPriority w:val="0"/>
    <w:rPr>
      <w:rFonts w:ascii="Arial" w:hAnsi="Arial" w:eastAsia="宋体" w:cs="Times New Roman"/>
      <w:szCs w:val="24"/>
    </w:rPr>
  </w:style>
  <w:style w:type="paragraph" w:customStyle="1" w:styleId="519">
    <w:name w:val="证书编号"/>
    <w:basedOn w:val="1"/>
    <w:qFormat/>
    <w:uiPriority w:val="0"/>
    <w:pPr>
      <w:adjustRightInd w:val="0"/>
      <w:snapToGrid w:val="0"/>
    </w:pPr>
    <w:rPr>
      <w:rFonts w:ascii="黑体" w:hAnsi="宋体" w:eastAsia="黑体"/>
      <w:szCs w:val="21"/>
    </w:rPr>
  </w:style>
  <w:style w:type="character" w:customStyle="1" w:styleId="520">
    <w:name w:val="正文 Char"/>
    <w:link w:val="287"/>
    <w:qFormat/>
    <w:uiPriority w:val="0"/>
    <w:rPr>
      <w:rFonts w:ascii="Times New Roman" w:hAnsi="Times New Roman" w:eastAsia="宋体" w:cs="Times New Roman"/>
      <w:sz w:val="28"/>
      <w:szCs w:val="20"/>
    </w:rPr>
  </w:style>
  <w:style w:type="character" w:customStyle="1" w:styleId="521">
    <w:name w:val="font01"/>
    <w:qFormat/>
    <w:uiPriority w:val="0"/>
    <w:rPr>
      <w:rFonts w:hint="eastAsia" w:ascii="宋体" w:hAnsi="宋体" w:eastAsia="宋体" w:cs="宋体"/>
      <w:color w:val="000000"/>
      <w:sz w:val="24"/>
      <w:szCs w:val="24"/>
    </w:rPr>
  </w:style>
  <w:style w:type="paragraph" w:customStyle="1" w:styleId="522">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23">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24">
    <w:name w:val="font8"/>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525">
    <w:name w:val="font9"/>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526">
    <w:name w:val="xl65"/>
    <w:basedOn w:val="1"/>
    <w:qFormat/>
    <w:uiPriority w:val="0"/>
    <w:pPr>
      <w:widowControl/>
      <w:spacing w:before="100" w:beforeAutospacing="1" w:after="100" w:afterAutospacing="1"/>
      <w:jc w:val="left"/>
      <w:textAlignment w:val="bottom"/>
    </w:pPr>
    <w:rPr>
      <w:rFonts w:ascii="宋体" w:hAnsi="宋体" w:cs="宋体"/>
      <w:kern w:val="0"/>
      <w:sz w:val="24"/>
      <w:szCs w:val="24"/>
    </w:rPr>
  </w:style>
  <w:style w:type="paragraph" w:customStyle="1" w:styleId="52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52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52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530">
    <w:name w:val="xl6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531">
    <w:name w:val="xl7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532">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533">
    <w:name w:val="xl72"/>
    <w:basedOn w:val="1"/>
    <w:qFormat/>
    <w:uiPriority w:val="0"/>
    <w:pPr>
      <w:widowControl/>
      <w:spacing w:before="100" w:beforeAutospacing="1" w:after="100" w:afterAutospacing="1"/>
      <w:jc w:val="left"/>
      <w:textAlignment w:val="bottom"/>
    </w:pPr>
    <w:rPr>
      <w:rFonts w:ascii="宋体" w:hAnsi="宋体" w:cs="宋体"/>
      <w:color w:val="FF0000"/>
      <w:kern w:val="0"/>
      <w:sz w:val="24"/>
      <w:szCs w:val="24"/>
    </w:rPr>
  </w:style>
  <w:style w:type="paragraph" w:customStyle="1" w:styleId="534">
    <w:name w:val="xl73"/>
    <w:basedOn w:val="1"/>
    <w:qFormat/>
    <w:uiPriority w:val="0"/>
    <w:pPr>
      <w:widowControl/>
      <w:spacing w:before="100" w:beforeAutospacing="1" w:after="100" w:afterAutospacing="1"/>
      <w:jc w:val="center"/>
      <w:textAlignment w:val="bottom"/>
    </w:pPr>
    <w:rPr>
      <w:rFonts w:ascii="宋体" w:hAnsi="宋体" w:cs="宋体"/>
      <w:kern w:val="0"/>
      <w:sz w:val="24"/>
      <w:szCs w:val="24"/>
    </w:rPr>
  </w:style>
  <w:style w:type="paragraph" w:customStyle="1" w:styleId="535">
    <w:name w:val="xl74"/>
    <w:basedOn w:val="1"/>
    <w:qFormat/>
    <w:uiPriority w:val="0"/>
    <w:pPr>
      <w:widowControl/>
      <w:spacing w:before="100" w:beforeAutospacing="1" w:after="100" w:afterAutospacing="1"/>
      <w:jc w:val="center"/>
      <w:textAlignment w:val="bottom"/>
    </w:pPr>
    <w:rPr>
      <w:kern w:val="0"/>
      <w:sz w:val="24"/>
      <w:szCs w:val="24"/>
    </w:rPr>
  </w:style>
  <w:style w:type="paragraph" w:customStyle="1" w:styleId="53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4"/>
      <w:szCs w:val="24"/>
    </w:rPr>
  </w:style>
  <w:style w:type="paragraph" w:customStyle="1" w:styleId="53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Cs w:val="21"/>
    </w:rPr>
  </w:style>
  <w:style w:type="paragraph" w:customStyle="1" w:styleId="538">
    <w:name w:val="font1"/>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539">
    <w:name w:val="xl63"/>
    <w:basedOn w:val="1"/>
    <w:qFormat/>
    <w:uiPriority w:val="0"/>
    <w:pPr>
      <w:widowControl/>
      <w:spacing w:before="100" w:beforeAutospacing="1" w:after="100" w:afterAutospacing="1"/>
      <w:jc w:val="center"/>
    </w:pPr>
    <w:rPr>
      <w:kern w:val="0"/>
      <w:sz w:val="24"/>
      <w:szCs w:val="24"/>
    </w:rPr>
  </w:style>
  <w:style w:type="paragraph" w:customStyle="1" w:styleId="540">
    <w:name w:val="xl64"/>
    <w:basedOn w:val="1"/>
    <w:qFormat/>
    <w:uiPriority w:val="0"/>
    <w:pPr>
      <w:widowControl/>
      <w:shd w:val="clear" w:color="000000" w:fill="FFFF00"/>
      <w:spacing w:before="100" w:beforeAutospacing="1" w:after="100" w:afterAutospacing="1"/>
      <w:jc w:val="left"/>
    </w:pPr>
    <w:rPr>
      <w:rFonts w:ascii="宋体" w:hAnsi="宋体" w:cs="宋体"/>
      <w:kern w:val="0"/>
      <w:sz w:val="24"/>
      <w:szCs w:val="24"/>
    </w:rPr>
  </w:style>
  <w:style w:type="paragraph" w:customStyle="1" w:styleId="541">
    <w:name w:val="修订11"/>
    <w:hidden/>
    <w:semiHidden/>
    <w:qFormat/>
    <w:uiPriority w:val="99"/>
    <w:rPr>
      <w:rFonts w:ascii="Times New Roman" w:hAnsi="Times New Roman" w:eastAsia="仿宋_GB2312" w:cs="Times New Roman"/>
      <w:kern w:val="2"/>
      <w:sz w:val="24"/>
      <w:szCs w:val="24"/>
      <w:lang w:val="en-US" w:eastAsia="zh-CN" w:bidi="ar-SA"/>
    </w:rPr>
  </w:style>
  <w:style w:type="paragraph" w:customStyle="1" w:styleId="542">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eastAsia="Arial Unicode MS"/>
      <w:kern w:val="0"/>
      <w:szCs w:val="21"/>
    </w:rPr>
  </w:style>
  <w:style w:type="paragraph" w:customStyle="1" w:styleId="543">
    <w:name w:val="Char Char Char1 Char Char Char Char Char Char"/>
    <w:basedOn w:val="1"/>
    <w:qFormat/>
    <w:uiPriority w:val="0"/>
    <w:pPr>
      <w:keepNext/>
      <w:widowControl/>
      <w:tabs>
        <w:tab w:val="left" w:pos="425"/>
      </w:tabs>
      <w:autoSpaceDE w:val="0"/>
      <w:autoSpaceDN w:val="0"/>
      <w:adjustRightInd w:val="0"/>
      <w:spacing w:before="80" w:after="80" w:line="360" w:lineRule="atLeast"/>
      <w:ind w:hanging="425"/>
      <w:textAlignment w:val="baseline"/>
    </w:pPr>
    <w:rPr>
      <w:rFonts w:ascii="Arial" w:hAnsi="Arial" w:cs="Arial"/>
      <w:sz w:val="20"/>
    </w:rPr>
  </w:style>
  <w:style w:type="character" w:customStyle="1" w:styleId="544">
    <w:name w:val="tpc_content"/>
    <w:qFormat/>
    <w:uiPriority w:val="0"/>
  </w:style>
  <w:style w:type="paragraph" w:customStyle="1" w:styleId="545">
    <w:name w:val="表格样式1"/>
    <w:basedOn w:val="1"/>
    <w:next w:val="1"/>
    <w:qFormat/>
    <w:uiPriority w:val="0"/>
    <w:pPr>
      <w:adjustRightInd w:val="0"/>
      <w:spacing w:line="40" w:lineRule="atLeast"/>
      <w:jc w:val="center"/>
      <w:textAlignment w:val="baseline"/>
    </w:pPr>
    <w:rPr>
      <w:kern w:val="0"/>
      <w:sz w:val="24"/>
    </w:rPr>
  </w:style>
  <w:style w:type="character" w:customStyle="1" w:styleId="546">
    <w:name w:val="表文 Char"/>
    <w:link w:val="298"/>
    <w:qFormat/>
    <w:uiPriority w:val="0"/>
    <w:rPr>
      <w:rFonts w:ascii="宋体" w:hAnsi="Tms Rmn" w:eastAsia="宋体" w:cs="Times New Roman"/>
      <w:kern w:val="0"/>
      <w:sz w:val="24"/>
      <w:szCs w:val="20"/>
    </w:rPr>
  </w:style>
  <w:style w:type="paragraph" w:customStyle="1" w:styleId="547">
    <w:name w:val="印发栏"/>
    <w:basedOn w:val="7"/>
    <w:qFormat/>
    <w:uiPriority w:val="0"/>
    <w:pPr>
      <w:tabs>
        <w:tab w:val="left" w:pos="284"/>
        <w:tab w:val="left" w:pos="5387"/>
      </w:tabs>
      <w:adjustRightInd w:val="0"/>
      <w:spacing w:line="0" w:lineRule="atLeast"/>
      <w:ind w:firstLine="0"/>
    </w:pPr>
    <w:rPr>
      <w:rFonts w:hint="eastAsia" w:ascii="仿宋_GB2312" w:eastAsia="仿宋_GB2312"/>
      <w:kern w:val="0"/>
      <w:sz w:val="28"/>
    </w:rPr>
  </w:style>
  <w:style w:type="paragraph" w:customStyle="1" w:styleId="548">
    <w:name w:val="正文文本缩进 31"/>
    <w:basedOn w:val="1"/>
    <w:qFormat/>
    <w:uiPriority w:val="0"/>
    <w:pPr>
      <w:adjustRightInd w:val="0"/>
      <w:spacing w:line="360" w:lineRule="auto"/>
      <w:ind w:firstLine="480"/>
      <w:textAlignment w:val="baseline"/>
    </w:pPr>
    <w:rPr>
      <w:rFonts w:ascii="宋体" w:hAnsi="宋体"/>
      <w:sz w:val="24"/>
    </w:rPr>
  </w:style>
  <w:style w:type="paragraph" w:customStyle="1" w:styleId="549">
    <w:name w:val="简单回函地址"/>
    <w:basedOn w:val="1"/>
    <w:qFormat/>
    <w:uiPriority w:val="0"/>
    <w:rPr>
      <w:szCs w:val="24"/>
    </w:rPr>
  </w:style>
  <w:style w:type="paragraph" w:customStyle="1" w:styleId="550">
    <w:name w:val="Char4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551">
    <w:name w:val="font10"/>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52">
    <w:name w:val="xl77"/>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pPr>
    <w:rPr>
      <w:rFonts w:ascii="宋体" w:hAnsi="宋体" w:cs="宋体"/>
      <w:b/>
      <w:bCs/>
      <w:color w:val="000000"/>
      <w:kern w:val="0"/>
      <w:szCs w:val="21"/>
    </w:rPr>
  </w:style>
  <w:style w:type="paragraph" w:customStyle="1" w:styleId="553">
    <w:name w:val="xl78"/>
    <w:basedOn w:val="1"/>
    <w:qFormat/>
    <w:uiPriority w:val="0"/>
    <w:pPr>
      <w:widowControl/>
      <w:pBdr>
        <w:top w:val="single" w:color="auto" w:sz="8" w:space="0"/>
        <w:bottom w:val="single" w:color="auto" w:sz="8" w:space="0"/>
      </w:pBdr>
      <w:spacing w:before="100" w:beforeAutospacing="1" w:after="100" w:afterAutospacing="1"/>
      <w:jc w:val="left"/>
    </w:pPr>
    <w:rPr>
      <w:rFonts w:ascii="宋体" w:hAnsi="宋体" w:cs="宋体"/>
      <w:b/>
      <w:bCs/>
      <w:color w:val="000000"/>
      <w:kern w:val="0"/>
      <w:szCs w:val="21"/>
    </w:rPr>
  </w:style>
  <w:style w:type="paragraph" w:customStyle="1" w:styleId="554">
    <w:name w:val="xl79"/>
    <w:basedOn w:val="1"/>
    <w:qFormat/>
    <w:uiPriority w:val="0"/>
    <w:pPr>
      <w:widowControl/>
      <w:pBdr>
        <w:left w:val="single" w:color="auto" w:sz="8" w:space="0"/>
        <w:right w:val="single" w:color="auto" w:sz="8" w:space="0"/>
      </w:pBdr>
      <w:spacing w:before="100" w:beforeAutospacing="1" w:after="100" w:afterAutospacing="1"/>
      <w:jc w:val="center"/>
    </w:pPr>
    <w:rPr>
      <w:color w:val="000000"/>
      <w:kern w:val="0"/>
      <w:szCs w:val="21"/>
    </w:rPr>
  </w:style>
  <w:style w:type="paragraph" w:customStyle="1" w:styleId="555">
    <w:name w:val="xl80"/>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color w:val="000000"/>
      <w:kern w:val="0"/>
      <w:szCs w:val="21"/>
    </w:rPr>
  </w:style>
  <w:style w:type="paragraph" w:customStyle="1" w:styleId="556">
    <w:name w:val="xl81"/>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000000"/>
      <w:kern w:val="0"/>
      <w:szCs w:val="21"/>
    </w:rPr>
  </w:style>
  <w:style w:type="paragraph" w:customStyle="1" w:styleId="557">
    <w:name w:val="xl82"/>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Cs w:val="21"/>
    </w:rPr>
  </w:style>
  <w:style w:type="paragraph" w:customStyle="1" w:styleId="558">
    <w:name w:val="xl83"/>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color w:val="000000"/>
      <w:kern w:val="0"/>
      <w:szCs w:val="21"/>
    </w:rPr>
  </w:style>
  <w:style w:type="character" w:customStyle="1" w:styleId="559">
    <w:name w:val="普通文字 Char1"/>
    <w:qFormat/>
    <w:uiPriority w:val="0"/>
    <w:rPr>
      <w:rFonts w:ascii="宋体" w:hAnsi="Courier New" w:eastAsia="宋体" w:cs="Times New Roman"/>
      <w:kern w:val="0"/>
      <w:sz w:val="20"/>
      <w:szCs w:val="21"/>
    </w:rPr>
  </w:style>
  <w:style w:type="paragraph" w:customStyle="1" w:styleId="560">
    <w:name w:val="样式 正文 + 首行缩进:  2 字符 + 宋体"/>
    <w:basedOn w:val="1"/>
    <w:link w:val="561"/>
    <w:qFormat/>
    <w:uiPriority w:val="0"/>
    <w:pPr>
      <w:tabs>
        <w:tab w:val="left" w:pos="2940"/>
      </w:tabs>
      <w:adjustRightInd w:val="0"/>
      <w:snapToGrid w:val="0"/>
      <w:spacing w:line="360" w:lineRule="auto"/>
      <w:ind w:firstLine="480" w:firstLineChars="200"/>
    </w:pPr>
    <w:rPr>
      <w:rFonts w:ascii="宋体" w:hAnsi="宋体"/>
      <w:snapToGrid w:val="0"/>
      <w:color w:val="000000"/>
      <w:sz w:val="24"/>
      <w:szCs w:val="28"/>
    </w:rPr>
  </w:style>
  <w:style w:type="character" w:customStyle="1" w:styleId="561">
    <w:name w:val="样式 正文 + 首行缩进:  2 字符 + 宋体 Char"/>
    <w:link w:val="560"/>
    <w:qFormat/>
    <w:uiPriority w:val="0"/>
    <w:rPr>
      <w:rFonts w:ascii="宋体" w:hAnsi="宋体" w:eastAsia="宋体" w:cs="Times New Roman"/>
      <w:snapToGrid w:val="0"/>
      <w:color w:val="000000"/>
      <w:sz w:val="24"/>
      <w:szCs w:val="28"/>
    </w:rPr>
  </w:style>
  <w:style w:type="paragraph" w:customStyle="1" w:styleId="562">
    <w:name w:val="表内文字"/>
    <w:basedOn w:val="1"/>
    <w:link w:val="563"/>
    <w:qFormat/>
    <w:uiPriority w:val="0"/>
    <w:pPr>
      <w:spacing w:line="300" w:lineRule="exact"/>
      <w:jc w:val="center"/>
    </w:pPr>
    <w:rPr>
      <w:rFonts w:ascii="宋体"/>
      <w:sz w:val="20"/>
      <w:szCs w:val="24"/>
    </w:rPr>
  </w:style>
  <w:style w:type="character" w:customStyle="1" w:styleId="563">
    <w:name w:val="表内文字 Char"/>
    <w:link w:val="562"/>
    <w:qFormat/>
    <w:uiPriority w:val="0"/>
    <w:rPr>
      <w:rFonts w:ascii="宋体" w:hAnsi="Times New Roman" w:eastAsia="宋体" w:cs="Times New Roman"/>
      <w:sz w:val="20"/>
      <w:szCs w:val="24"/>
    </w:rPr>
  </w:style>
  <w:style w:type="paragraph" w:customStyle="1" w:styleId="564">
    <w:name w:val="标题1q"/>
    <w:basedOn w:val="5"/>
    <w:qFormat/>
    <w:uiPriority w:val="0"/>
    <w:pPr>
      <w:keepLines/>
      <w:tabs>
        <w:tab w:val="left" w:pos="425"/>
      </w:tabs>
      <w:spacing w:line="360" w:lineRule="auto"/>
      <w:ind w:left="431" w:firstLine="200" w:firstLineChars="200"/>
    </w:pPr>
    <w:rPr>
      <w:rFonts w:ascii="宋体" w:hAnsi="宋体" w:cs="宋体"/>
      <w:sz w:val="24"/>
      <w:szCs w:val="24"/>
    </w:rPr>
  </w:style>
  <w:style w:type="character" w:customStyle="1" w:styleId="565">
    <w:name w:val="正文2 Char Char"/>
    <w:qFormat/>
    <w:locked/>
    <w:uiPriority w:val="0"/>
    <w:rPr>
      <w:rFonts w:ascii="宋体" w:hAnsi="仿宋_GB2312" w:cs="宋体"/>
      <w:sz w:val="24"/>
    </w:rPr>
  </w:style>
  <w:style w:type="paragraph" w:customStyle="1" w:styleId="566">
    <w:name w:val="Char Char Char Char1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567">
    <w:name w:val="表内文字 Char Char"/>
    <w:qFormat/>
    <w:locked/>
    <w:uiPriority w:val="0"/>
    <w:rPr>
      <w:rFonts w:ascii="宋体" w:hAnsi="宋体"/>
      <w:kern w:val="2"/>
      <w:szCs w:val="24"/>
    </w:rPr>
  </w:style>
  <w:style w:type="paragraph" w:customStyle="1" w:styleId="568">
    <w:name w:val="表格内字体"/>
    <w:basedOn w:val="1"/>
    <w:next w:val="1"/>
    <w:qFormat/>
    <w:uiPriority w:val="0"/>
    <w:pPr>
      <w:adjustRightInd w:val="0"/>
      <w:snapToGrid w:val="0"/>
      <w:jc w:val="center"/>
    </w:pPr>
    <w:rPr>
      <w:rFonts w:ascii="宋体" w:hAnsi="宋体"/>
      <w:szCs w:val="21"/>
    </w:rPr>
  </w:style>
  <w:style w:type="paragraph" w:customStyle="1" w:styleId="569">
    <w:name w:val="图表题"/>
    <w:basedOn w:val="1"/>
    <w:next w:val="1"/>
    <w:qFormat/>
    <w:uiPriority w:val="0"/>
    <w:pPr>
      <w:spacing w:line="360" w:lineRule="auto"/>
      <w:jc w:val="center"/>
    </w:pPr>
    <w:rPr>
      <w:rFonts w:ascii="黑体" w:hAnsi="宋体" w:eastAsia="黑体" w:cs="宋体"/>
      <w:b/>
      <w:bCs/>
      <w:kern w:val="0"/>
      <w:sz w:val="24"/>
      <w:szCs w:val="24"/>
    </w:rPr>
  </w:style>
  <w:style w:type="paragraph" w:customStyle="1" w:styleId="570">
    <w:name w:val="列出段落1"/>
    <w:basedOn w:val="1"/>
    <w:qFormat/>
    <w:uiPriority w:val="34"/>
    <w:pPr>
      <w:ind w:firstLine="420" w:firstLineChars="200"/>
    </w:pPr>
    <w:rPr>
      <w:rFonts w:ascii="Calibri" w:hAnsi="Calibri"/>
      <w:szCs w:val="22"/>
    </w:rPr>
  </w:style>
  <w:style w:type="paragraph" w:customStyle="1" w:styleId="571">
    <w:name w:val="font11"/>
    <w:basedOn w:val="1"/>
    <w:qFormat/>
    <w:uiPriority w:val="0"/>
    <w:pPr>
      <w:widowControl/>
      <w:spacing w:before="100" w:beforeAutospacing="1" w:after="100" w:afterAutospacing="1"/>
      <w:jc w:val="left"/>
    </w:pPr>
    <w:rPr>
      <w:rFonts w:ascii="宋体" w:hAnsi="宋体" w:cs="宋体"/>
      <w:kern w:val="0"/>
      <w:sz w:val="20"/>
    </w:rPr>
  </w:style>
  <w:style w:type="paragraph" w:customStyle="1" w:styleId="57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hAnsi="宋体" w:cs="宋体"/>
      <w:kern w:val="0"/>
      <w:sz w:val="24"/>
      <w:szCs w:val="24"/>
    </w:rPr>
  </w:style>
  <w:style w:type="paragraph" w:customStyle="1" w:styleId="57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left"/>
    </w:pPr>
    <w:rPr>
      <w:rFonts w:ascii="宋体" w:hAnsi="宋体" w:cs="宋体"/>
      <w:kern w:val="0"/>
      <w:sz w:val="24"/>
      <w:szCs w:val="24"/>
    </w:rPr>
  </w:style>
  <w:style w:type="paragraph" w:customStyle="1" w:styleId="574">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kern w:val="0"/>
      <w:sz w:val="24"/>
      <w:szCs w:val="24"/>
    </w:rPr>
  </w:style>
  <w:style w:type="paragraph" w:customStyle="1" w:styleId="57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jc w:val="left"/>
    </w:pPr>
    <w:rPr>
      <w:rFonts w:ascii="宋体" w:hAnsi="宋体" w:cs="宋体"/>
      <w:kern w:val="0"/>
      <w:sz w:val="24"/>
      <w:szCs w:val="24"/>
    </w:rPr>
  </w:style>
  <w:style w:type="paragraph" w:customStyle="1" w:styleId="576">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rPr>
  </w:style>
  <w:style w:type="paragraph" w:customStyle="1" w:styleId="57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left"/>
    </w:pPr>
    <w:rPr>
      <w:rFonts w:ascii="宋体" w:hAnsi="宋体" w:cs="宋体"/>
      <w:kern w:val="0"/>
      <w:sz w:val="24"/>
      <w:szCs w:val="24"/>
    </w:rPr>
  </w:style>
  <w:style w:type="paragraph" w:customStyle="1" w:styleId="57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jc w:val="left"/>
    </w:pPr>
    <w:rPr>
      <w:rFonts w:ascii="宋体" w:hAnsi="宋体" w:cs="宋体"/>
      <w:kern w:val="0"/>
      <w:sz w:val="24"/>
      <w:szCs w:val="24"/>
    </w:rPr>
  </w:style>
  <w:style w:type="paragraph" w:customStyle="1" w:styleId="579">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kern w:val="0"/>
      <w:sz w:val="24"/>
      <w:szCs w:val="24"/>
    </w:rPr>
  </w:style>
  <w:style w:type="paragraph" w:customStyle="1" w:styleId="580">
    <w:name w:val="xl92"/>
    <w:basedOn w:val="1"/>
    <w:qFormat/>
    <w:uiPriority w:val="0"/>
    <w:pPr>
      <w:widowControl/>
      <w:pBdr>
        <w:left w:val="single" w:color="auto" w:sz="4" w:space="0"/>
        <w:right w:val="single" w:color="auto" w:sz="4" w:space="0"/>
      </w:pBdr>
      <w:spacing w:before="100" w:beforeAutospacing="1" w:after="100" w:afterAutospacing="1"/>
      <w:jc w:val="center"/>
    </w:pPr>
    <w:rPr>
      <w:color w:val="000000"/>
      <w:kern w:val="0"/>
      <w:sz w:val="20"/>
    </w:rPr>
  </w:style>
  <w:style w:type="paragraph" w:customStyle="1" w:styleId="581">
    <w:name w:val="xl9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000000"/>
      <w:kern w:val="0"/>
      <w:sz w:val="20"/>
    </w:rPr>
  </w:style>
  <w:style w:type="paragraph" w:customStyle="1" w:styleId="582">
    <w:name w:val="xl94"/>
    <w:basedOn w:val="1"/>
    <w:qFormat/>
    <w:uiPriority w:val="0"/>
    <w:pPr>
      <w:widowControl/>
      <w:pBdr>
        <w:top w:val="single" w:color="auto" w:sz="4" w:space="0"/>
        <w:bottom w:val="single" w:color="auto" w:sz="4" w:space="0"/>
      </w:pBdr>
      <w:spacing w:before="100" w:beforeAutospacing="1" w:after="100" w:afterAutospacing="1"/>
      <w:jc w:val="center"/>
    </w:pPr>
    <w:rPr>
      <w:color w:val="000000"/>
      <w:kern w:val="0"/>
      <w:sz w:val="20"/>
    </w:rPr>
  </w:style>
  <w:style w:type="paragraph" w:customStyle="1" w:styleId="583">
    <w:name w:val="xl9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color w:val="000000"/>
      <w:kern w:val="0"/>
      <w:sz w:val="20"/>
    </w:rPr>
  </w:style>
  <w:style w:type="paragraph" w:customStyle="1" w:styleId="58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color w:val="000000"/>
      <w:kern w:val="0"/>
      <w:sz w:val="20"/>
    </w:rPr>
  </w:style>
  <w:style w:type="character" w:customStyle="1" w:styleId="585">
    <w:name w:val="font21"/>
    <w:basedOn w:val="131"/>
    <w:qFormat/>
    <w:uiPriority w:val="0"/>
    <w:rPr>
      <w:rFonts w:hint="eastAsia" w:ascii="仿宋_GB2312" w:eastAsia="仿宋_GB2312"/>
      <w:b/>
      <w:bCs/>
      <w:color w:val="000000"/>
      <w:sz w:val="18"/>
      <w:szCs w:val="18"/>
      <w:u w:val="none"/>
    </w:rPr>
  </w:style>
  <w:style w:type="paragraph" w:customStyle="1" w:styleId="586">
    <w:name w:val="样式 样式 首行缩进:  2 字符1 + 首行缩进:  2 字符"/>
    <w:basedOn w:val="1"/>
    <w:qFormat/>
    <w:uiPriority w:val="0"/>
    <w:pPr>
      <w:adjustRightInd w:val="0"/>
      <w:snapToGrid w:val="0"/>
      <w:spacing w:line="360" w:lineRule="auto"/>
      <w:ind w:firstLine="480" w:firstLineChars="200"/>
    </w:pPr>
    <w:rPr>
      <w:rFonts w:ascii="宋体" w:hAnsi="宋体" w:cs="宋体"/>
      <w:color w:val="000000"/>
      <w:sz w:val="24"/>
    </w:rPr>
  </w:style>
  <w:style w:type="character" w:customStyle="1" w:styleId="587">
    <w:name w:val="样式 样式 正文文本缩进 + 仿宋_GB2312 四号 段后: 0 磅 行距: 1.5 倍行距 + 首行缩进:  2 字符 Char"/>
    <w:link w:val="437"/>
    <w:qFormat/>
    <w:uiPriority w:val="0"/>
    <w:rPr>
      <w:rFonts w:ascii="仿宋_GB2312" w:hAnsi="仿宋_GB2312" w:eastAsia="宋体" w:cs="宋体"/>
      <w:sz w:val="24"/>
      <w:szCs w:val="20"/>
    </w:rPr>
  </w:style>
  <w:style w:type="paragraph" w:customStyle="1" w:styleId="588">
    <w:name w:val="样式（ 正文）"/>
    <w:basedOn w:val="7"/>
    <w:link w:val="589"/>
    <w:qFormat/>
    <w:uiPriority w:val="0"/>
    <w:pPr>
      <w:tabs>
        <w:tab w:val="left" w:pos="2955"/>
      </w:tabs>
      <w:adjustRightInd w:val="0"/>
      <w:snapToGrid w:val="0"/>
      <w:spacing w:line="360" w:lineRule="auto"/>
      <w:ind w:firstLine="480"/>
      <w:jc w:val="center"/>
    </w:pPr>
    <w:rPr>
      <w:rFonts w:ascii="宋体" w:hAnsi="宋体"/>
      <w:bCs/>
      <w:snapToGrid w:val="0"/>
      <w:color w:val="000000"/>
      <w:spacing w:val="-4"/>
      <w:sz w:val="24"/>
      <w:szCs w:val="32"/>
    </w:rPr>
  </w:style>
  <w:style w:type="character" w:customStyle="1" w:styleId="589">
    <w:name w:val="样式（ 正文） Char"/>
    <w:link w:val="588"/>
    <w:qFormat/>
    <w:uiPriority w:val="0"/>
    <w:rPr>
      <w:rFonts w:ascii="宋体" w:hAnsi="宋体" w:eastAsia="宋体" w:cs="Times New Roman"/>
      <w:bCs/>
      <w:snapToGrid w:val="0"/>
      <w:color w:val="000000"/>
      <w:spacing w:val="-4"/>
      <w:sz w:val="24"/>
      <w:szCs w:val="32"/>
    </w:rPr>
  </w:style>
  <w:style w:type="paragraph" w:customStyle="1" w:styleId="590">
    <w:name w:val="xl25"/>
    <w:basedOn w:val="1"/>
    <w:qFormat/>
    <w:uiPriority w:val="0"/>
    <w:pPr>
      <w:widowControl/>
      <w:spacing w:before="100" w:beforeAutospacing="1" w:after="100" w:afterAutospacing="1"/>
      <w:jc w:val="center"/>
    </w:pPr>
    <w:rPr>
      <w:rFonts w:eastAsia="Arial Unicode MS"/>
      <w:color w:val="000000"/>
      <w:kern w:val="0"/>
      <w:sz w:val="24"/>
      <w:szCs w:val="24"/>
    </w:rPr>
  </w:style>
  <w:style w:type="paragraph" w:customStyle="1" w:styleId="591">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592">
    <w:name w:val="样式 标题 2标题 1.1节节标题 1.1标题 yjm2第一章 标题 2Heading 2 HiddenHeadi..."/>
    <w:basedOn w:val="6"/>
    <w:qFormat/>
    <w:uiPriority w:val="0"/>
    <w:pPr>
      <w:keepLines/>
      <w:tabs>
        <w:tab w:val="left" w:pos="576"/>
        <w:tab w:val="left" w:pos="720"/>
      </w:tabs>
      <w:adjustRightInd w:val="0"/>
      <w:snapToGrid w:val="0"/>
      <w:spacing w:before="120" w:after="120" w:line="400" w:lineRule="exact"/>
      <w:ind w:left="284" w:hanging="284"/>
      <w:jc w:val="both"/>
    </w:pPr>
    <w:rPr>
      <w:rFonts w:cs="宋体"/>
      <w:b/>
      <w:bCs/>
      <w:sz w:val="32"/>
    </w:rPr>
  </w:style>
  <w:style w:type="paragraph" w:customStyle="1" w:styleId="593">
    <w:name w:val="1b"/>
    <w:basedOn w:val="1"/>
    <w:qFormat/>
    <w:uiPriority w:val="0"/>
    <w:pPr>
      <w:topLinePunct/>
      <w:spacing w:line="480" w:lineRule="auto"/>
    </w:pPr>
    <w:rPr>
      <w:rFonts w:eastAsia="黑体"/>
      <w:kern w:val="21"/>
      <w:szCs w:val="21"/>
    </w:rPr>
  </w:style>
  <w:style w:type="character" w:customStyle="1" w:styleId="594">
    <w:name w:val="批注文字 Char1"/>
    <w:basedOn w:val="131"/>
    <w:semiHidden/>
    <w:qFormat/>
    <w:uiPriority w:val="0"/>
    <w:rPr>
      <w:rFonts w:ascii="Times New Roman" w:hAnsi="Times New Roman" w:cs="Times New Roman"/>
      <w:kern w:val="2"/>
      <w:sz w:val="21"/>
      <w:szCs w:val="24"/>
    </w:rPr>
  </w:style>
  <w:style w:type="character" w:customStyle="1" w:styleId="595">
    <w:name w:val="fontstyle01"/>
    <w:basedOn w:val="131"/>
    <w:qFormat/>
    <w:uiPriority w:val="0"/>
    <w:rPr>
      <w:rFonts w:hint="eastAsia" w:ascii="宋体" w:hAnsi="宋体" w:eastAsia="宋体"/>
      <w:color w:val="000000"/>
      <w:sz w:val="24"/>
      <w:szCs w:val="24"/>
    </w:rPr>
  </w:style>
  <w:style w:type="character" w:customStyle="1" w:styleId="596">
    <w:name w:val="fontstyle21"/>
    <w:basedOn w:val="131"/>
    <w:qFormat/>
    <w:uiPriority w:val="0"/>
    <w:rPr>
      <w:rFonts w:hint="default" w:ascii="TimesNewRomanPSMT" w:hAnsi="TimesNewRomanPSMT"/>
      <w:color w:val="000000"/>
      <w:sz w:val="24"/>
      <w:szCs w:val="24"/>
    </w:rPr>
  </w:style>
  <w:style w:type="character" w:customStyle="1" w:styleId="597">
    <w:name w:val="样式 样式 正文 + 仿宋_GB2312 自动设置1 Char Char"/>
    <w:link w:val="598"/>
    <w:qFormat/>
    <w:uiPriority w:val="0"/>
    <w:rPr>
      <w:rFonts w:ascii="仿宋_GB2312" w:hAnsi="仿宋_GB2312" w:cs="宋体"/>
      <w:bCs/>
      <w:snapToGrid w:val="0"/>
      <w:color w:val="000000"/>
      <w:kern w:val="16"/>
      <w:sz w:val="24"/>
      <w:szCs w:val="28"/>
    </w:rPr>
  </w:style>
  <w:style w:type="paragraph" w:customStyle="1" w:styleId="598">
    <w:name w:val="样式 样式 正文 + 仿宋_GB2312 自动设置1"/>
    <w:basedOn w:val="1"/>
    <w:link w:val="597"/>
    <w:qFormat/>
    <w:uiPriority w:val="0"/>
    <w:pPr>
      <w:adjustRightInd w:val="0"/>
      <w:snapToGrid w:val="0"/>
      <w:spacing w:line="360" w:lineRule="auto"/>
      <w:ind w:firstLine="200" w:firstLineChars="200"/>
    </w:pPr>
    <w:rPr>
      <w:rFonts w:ascii="仿宋_GB2312" w:hAnsi="仿宋_GB2312" w:cs="宋体" w:eastAsiaTheme="minorEastAsia"/>
      <w:bCs/>
      <w:snapToGrid w:val="0"/>
      <w:color w:val="000000"/>
      <w:kern w:val="16"/>
      <w:sz w:val="24"/>
      <w:szCs w:val="28"/>
    </w:rPr>
  </w:style>
  <w:style w:type="character" w:customStyle="1" w:styleId="599">
    <w:name w:val="标题 5 Char1"/>
    <w:semiHidden/>
    <w:qFormat/>
    <w:locked/>
    <w:uiPriority w:val="0"/>
    <w:rPr>
      <w:b/>
      <w:bCs/>
      <w:kern w:val="2"/>
      <w:sz w:val="28"/>
      <w:szCs w:val="28"/>
    </w:rPr>
  </w:style>
  <w:style w:type="character" w:customStyle="1" w:styleId="600">
    <w:name w:val="标题 6 Char2"/>
    <w:semiHidden/>
    <w:qFormat/>
    <w:uiPriority w:val="0"/>
    <w:rPr>
      <w:rFonts w:hint="default" w:ascii="Cambria" w:hAnsi="Cambria" w:eastAsia="宋体" w:cs="Times New Roman"/>
      <w:b/>
      <w:bCs/>
      <w:kern w:val="2"/>
      <w:sz w:val="24"/>
      <w:szCs w:val="24"/>
    </w:rPr>
  </w:style>
  <w:style w:type="character" w:customStyle="1" w:styleId="601">
    <w:name w:val="标题 8 Char1"/>
    <w:semiHidden/>
    <w:qFormat/>
    <w:uiPriority w:val="0"/>
    <w:rPr>
      <w:rFonts w:hint="default" w:ascii="Cambria" w:hAnsi="Cambria" w:eastAsia="宋体" w:cs="Times New Roman"/>
      <w:kern w:val="2"/>
      <w:sz w:val="24"/>
      <w:szCs w:val="24"/>
    </w:rPr>
  </w:style>
  <w:style w:type="character" w:customStyle="1" w:styleId="602">
    <w:name w:val="标题 9 Char1"/>
    <w:semiHidden/>
    <w:qFormat/>
    <w:uiPriority w:val="0"/>
    <w:rPr>
      <w:rFonts w:hint="default" w:ascii="Cambria" w:hAnsi="Cambria" w:eastAsia="宋体" w:cs="Times New Roman"/>
      <w:kern w:val="2"/>
      <w:sz w:val="21"/>
      <w:szCs w:val="21"/>
    </w:rPr>
  </w:style>
  <w:style w:type="character" w:customStyle="1" w:styleId="603">
    <w:name w:val="页脚 Char1"/>
    <w:semiHidden/>
    <w:qFormat/>
    <w:uiPriority w:val="99"/>
    <w:rPr>
      <w:kern w:val="2"/>
      <w:sz w:val="18"/>
      <w:szCs w:val="18"/>
    </w:rPr>
  </w:style>
  <w:style w:type="character" w:customStyle="1" w:styleId="604">
    <w:name w:val="h1 Char1"/>
    <w:qFormat/>
    <w:uiPriority w:val="9"/>
    <w:rPr>
      <w:b/>
      <w:bCs/>
      <w:kern w:val="44"/>
      <w:sz w:val="44"/>
      <w:szCs w:val="44"/>
    </w:rPr>
  </w:style>
  <w:style w:type="character" w:customStyle="1" w:styleId="605">
    <w:name w:val="标题3"/>
    <w:basedOn w:val="131"/>
    <w:qFormat/>
    <w:uiPriority w:val="0"/>
  </w:style>
  <w:style w:type="paragraph" w:customStyle="1" w:styleId="606">
    <w:name w:val="5"/>
    <w:qFormat/>
    <w:uiPriority w:val="99"/>
    <w:pPr>
      <w:widowControl w:val="0"/>
      <w:adjustRightInd w:val="0"/>
      <w:snapToGrid w:val="0"/>
      <w:spacing w:line="360" w:lineRule="auto"/>
      <w:ind w:firstLine="200" w:firstLineChars="200"/>
      <w:jc w:val="both"/>
    </w:pPr>
    <w:rPr>
      <w:rFonts w:ascii="Calibri" w:hAnsi="Calibri" w:eastAsia="Cambria Math" w:cs="Calibri"/>
      <w:kern w:val="2"/>
      <w:sz w:val="24"/>
      <w:szCs w:val="24"/>
      <w:lang w:val="en-US" w:eastAsia="zh-CN" w:bidi="ar-SA"/>
    </w:rPr>
  </w:style>
  <w:style w:type="paragraph" w:customStyle="1" w:styleId="607">
    <w:name w:val="正文一"/>
    <w:basedOn w:val="1"/>
    <w:qFormat/>
    <w:uiPriority w:val="0"/>
    <w:pPr>
      <w:adjustRightInd w:val="0"/>
      <w:snapToGrid w:val="0"/>
      <w:spacing w:line="360" w:lineRule="auto"/>
      <w:ind w:firstLine="480" w:firstLineChars="200"/>
    </w:pPr>
    <w:rPr>
      <w:rFonts w:hAnsi="仿宋_GB2312"/>
      <w:sz w:val="24"/>
      <w:szCs w:val="21"/>
    </w:rPr>
  </w:style>
  <w:style w:type="table" w:customStyle="1" w:styleId="608">
    <w:name w:val="网格型2"/>
    <w:basedOn w:val="8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09">
    <w:name w:val="Placeholder Text"/>
    <w:basedOn w:val="131"/>
    <w:semiHidden/>
    <w:qFormat/>
    <w:uiPriority w:val="99"/>
    <w:rPr>
      <w:color w:val="808080"/>
    </w:rPr>
  </w:style>
  <w:style w:type="character" w:customStyle="1" w:styleId="610">
    <w:name w:val="宏文本 Char"/>
    <w:basedOn w:val="131"/>
    <w:link w:val="4"/>
    <w:qFormat/>
    <w:uiPriority w:val="0"/>
    <w:rPr>
      <w:rFonts w:ascii="Courier New" w:hAnsi="Courier New" w:eastAsia="宋体" w:cs="Times New Roman"/>
      <w:sz w:val="24"/>
      <w:szCs w:val="20"/>
    </w:rPr>
  </w:style>
  <w:style w:type="character" w:customStyle="1" w:styleId="611">
    <w:name w:val="注释标题 Char"/>
    <w:basedOn w:val="131"/>
    <w:link w:val="18"/>
    <w:qFormat/>
    <w:uiPriority w:val="0"/>
    <w:rPr>
      <w:rFonts w:ascii="Times New Roman" w:hAnsi="Times New Roman" w:eastAsia="宋体" w:cs="Times New Roman"/>
      <w:szCs w:val="24"/>
    </w:rPr>
  </w:style>
  <w:style w:type="character" w:customStyle="1" w:styleId="612">
    <w:name w:val="称呼 Char"/>
    <w:basedOn w:val="131"/>
    <w:link w:val="30"/>
    <w:qFormat/>
    <w:uiPriority w:val="0"/>
    <w:rPr>
      <w:rFonts w:ascii="仿宋_GB2312" w:hAnsi="Times New Roman" w:eastAsia="仿宋_GB2312" w:cs="Times New Roman"/>
      <w:sz w:val="28"/>
      <w:szCs w:val="28"/>
    </w:rPr>
  </w:style>
  <w:style w:type="paragraph" w:customStyle="1" w:styleId="613">
    <w:name w:val="样式 表 + 首行缩进:  2 字符"/>
    <w:basedOn w:val="1"/>
    <w:qFormat/>
    <w:uiPriority w:val="0"/>
    <w:pPr>
      <w:adjustRightInd w:val="0"/>
      <w:snapToGrid w:val="0"/>
      <w:spacing w:line="360" w:lineRule="auto"/>
      <w:jc w:val="center"/>
    </w:pPr>
    <w:rPr>
      <w:rFonts w:ascii="仿宋_GB2312" w:cs="宋体"/>
      <w:snapToGrid w:val="0"/>
      <w:kern w:val="0"/>
    </w:rPr>
  </w:style>
  <w:style w:type="paragraph" w:customStyle="1" w:styleId="614">
    <w:name w:val="样式 样式 正文缩进s4 + 首行缩进:  2 字符 + 首行缩进:  2 字符"/>
    <w:basedOn w:val="1"/>
    <w:link w:val="1041"/>
    <w:qFormat/>
    <w:uiPriority w:val="0"/>
    <w:pPr>
      <w:adjustRightInd w:val="0"/>
      <w:snapToGrid w:val="0"/>
      <w:spacing w:line="480" w:lineRule="exact"/>
      <w:ind w:firstLine="420" w:firstLineChars="200"/>
    </w:pPr>
    <w:rPr>
      <w:color w:val="000000"/>
    </w:rPr>
  </w:style>
  <w:style w:type="paragraph" w:customStyle="1" w:styleId="615">
    <w:name w:val="样式 表 + 首行缩进:  2 字符1"/>
    <w:basedOn w:val="1"/>
    <w:qFormat/>
    <w:uiPriority w:val="0"/>
    <w:pPr>
      <w:adjustRightInd w:val="0"/>
      <w:snapToGrid w:val="0"/>
      <w:spacing w:line="360" w:lineRule="auto"/>
      <w:jc w:val="center"/>
    </w:pPr>
    <w:rPr>
      <w:rFonts w:ascii="仿宋_GB2312" w:cs="宋体"/>
      <w:snapToGrid w:val="0"/>
      <w:kern w:val="0"/>
    </w:rPr>
  </w:style>
  <w:style w:type="paragraph" w:customStyle="1" w:styleId="616">
    <w:name w:val="样式 表格 + 两端对齐1"/>
    <w:basedOn w:val="1"/>
    <w:qFormat/>
    <w:uiPriority w:val="0"/>
    <w:pPr>
      <w:adjustRightInd w:val="0"/>
      <w:snapToGrid w:val="0"/>
      <w:spacing w:before="31" w:beforeAutospacing="1" w:after="31" w:afterAutospacing="1" w:line="240" w:lineRule="atLeast"/>
    </w:pPr>
    <w:rPr>
      <w:rFonts w:ascii="Arial" w:hAnsi="Arial" w:cs="宋体"/>
      <w:snapToGrid w:val="0"/>
      <w:kern w:val="0"/>
      <w:sz w:val="24"/>
    </w:rPr>
  </w:style>
  <w:style w:type="paragraph" w:customStyle="1" w:styleId="617">
    <w:name w:val="样式 标题 2 +"/>
    <w:basedOn w:val="6"/>
    <w:qFormat/>
    <w:uiPriority w:val="0"/>
    <w:pPr>
      <w:tabs>
        <w:tab w:val="left" w:pos="432"/>
        <w:tab w:val="left" w:pos="576"/>
      </w:tabs>
      <w:adjustRightInd w:val="0"/>
      <w:snapToGrid w:val="0"/>
      <w:spacing w:beforeLines="100" w:line="360" w:lineRule="auto"/>
      <w:ind w:left="576" w:hanging="576"/>
      <w:jc w:val="left"/>
    </w:pPr>
    <w:rPr>
      <w:rFonts w:ascii="Arial" w:hAnsi="Arial" w:eastAsia="黑体"/>
      <w:sz w:val="32"/>
    </w:rPr>
  </w:style>
  <w:style w:type="paragraph" w:customStyle="1" w:styleId="618">
    <w:name w:val="样式 正文文本缩进 + 左侧:  2 字符 首行缩进:  2 字符"/>
    <w:basedOn w:val="1"/>
    <w:qFormat/>
    <w:uiPriority w:val="0"/>
    <w:pPr>
      <w:adjustRightInd w:val="0"/>
      <w:snapToGrid w:val="0"/>
      <w:spacing w:after="120" w:line="360" w:lineRule="auto"/>
      <w:ind w:firstLine="560" w:firstLineChars="200"/>
    </w:pPr>
    <w:rPr>
      <w:rFonts w:eastAsia="仿宋_GB2312" w:cs="宋体"/>
      <w:sz w:val="28"/>
      <w:szCs w:val="28"/>
    </w:rPr>
  </w:style>
  <w:style w:type="paragraph" w:customStyle="1" w:styleId="619">
    <w:name w:val="样式 正文文本缩进 2 + 左侧:  2 字符 首行缩进:  2 字符 行距: 1.5 倍行距"/>
    <w:basedOn w:val="50"/>
    <w:qFormat/>
    <w:uiPriority w:val="0"/>
    <w:pPr>
      <w:adjustRightInd w:val="0"/>
      <w:snapToGrid w:val="0"/>
      <w:spacing w:after="120" w:line="360" w:lineRule="auto"/>
      <w:ind w:firstLine="560"/>
    </w:pPr>
    <w:rPr>
      <w:rFonts w:eastAsia="仿宋_GB2312" w:cs="宋体"/>
      <w:sz w:val="28"/>
      <w:szCs w:val="28"/>
    </w:rPr>
  </w:style>
  <w:style w:type="paragraph" w:customStyle="1" w:styleId="620">
    <w:name w:val="样式 题注 + 首行缩进:  2 字符1"/>
    <w:basedOn w:val="23"/>
    <w:qFormat/>
    <w:uiPriority w:val="0"/>
    <w:pPr>
      <w:spacing w:before="0" w:after="0" w:line="360" w:lineRule="auto"/>
      <w:ind w:firstLine="0" w:firstLineChars="0"/>
      <w:jc w:val="left"/>
      <w:textAlignment w:val="auto"/>
    </w:pPr>
    <w:rPr>
      <w:rFonts w:eastAsia="黑体" w:cs="宋体"/>
      <w:snapToGrid w:val="0"/>
    </w:rPr>
  </w:style>
  <w:style w:type="paragraph" w:customStyle="1" w:styleId="621">
    <w:name w:val="样式 表格 + 左侧:  0.98 厘米"/>
    <w:basedOn w:val="1"/>
    <w:qFormat/>
    <w:uiPriority w:val="0"/>
    <w:pPr>
      <w:adjustRightInd w:val="0"/>
      <w:snapToGrid w:val="0"/>
      <w:spacing w:before="100" w:beforeAutospacing="1" w:after="100" w:afterAutospacing="1" w:line="300" w:lineRule="auto"/>
    </w:pPr>
    <w:rPr>
      <w:rFonts w:ascii="Arial" w:hAnsi="Arial"/>
      <w:snapToGrid w:val="0"/>
      <w:kern w:val="0"/>
    </w:rPr>
  </w:style>
  <w:style w:type="paragraph" w:customStyle="1" w:styleId="622">
    <w:name w:val="样式 表格 + 居中 左侧:  0.98 厘米"/>
    <w:basedOn w:val="1"/>
    <w:qFormat/>
    <w:uiPriority w:val="0"/>
    <w:pPr>
      <w:adjustRightInd w:val="0"/>
      <w:snapToGrid w:val="0"/>
      <w:spacing w:before="100" w:beforeAutospacing="1" w:after="100" w:afterAutospacing="1" w:line="300" w:lineRule="auto"/>
      <w:jc w:val="center"/>
    </w:pPr>
    <w:rPr>
      <w:rFonts w:ascii="Arial" w:hAnsi="Arial"/>
      <w:snapToGrid w:val="0"/>
      <w:kern w:val="0"/>
      <w:sz w:val="24"/>
    </w:rPr>
  </w:style>
  <w:style w:type="paragraph" w:customStyle="1" w:styleId="623">
    <w:name w:val="样式 正文文本缩进 2 + 左侧:  0.98 厘米 首行缩进:  2 字符"/>
    <w:basedOn w:val="50"/>
    <w:qFormat/>
    <w:uiPriority w:val="0"/>
    <w:pPr>
      <w:adjustRightInd w:val="0"/>
      <w:snapToGrid w:val="0"/>
      <w:spacing w:line="360" w:lineRule="auto"/>
      <w:ind w:firstLine="560"/>
    </w:pPr>
    <w:rPr>
      <w:rFonts w:eastAsia="仿宋_GB2312"/>
      <w:sz w:val="28"/>
    </w:rPr>
  </w:style>
  <w:style w:type="paragraph" w:customStyle="1" w:styleId="624">
    <w:name w:val="样式 正文文本缩进 + 左侧:  0.98 厘米 首行缩进:  2 字符"/>
    <w:basedOn w:val="1"/>
    <w:qFormat/>
    <w:uiPriority w:val="0"/>
    <w:pPr>
      <w:adjustRightInd w:val="0"/>
      <w:snapToGrid w:val="0"/>
      <w:spacing w:line="360" w:lineRule="auto"/>
      <w:ind w:firstLine="560" w:firstLineChars="200"/>
    </w:pPr>
    <w:rPr>
      <w:rFonts w:eastAsia="仿宋_GB2312"/>
      <w:sz w:val="28"/>
    </w:rPr>
  </w:style>
  <w:style w:type="paragraph" w:customStyle="1" w:styleId="625">
    <w:name w:val="样式 正文缩进s4标题4 + 左侧:  0.98 厘米 首行缩进:  2 字符"/>
    <w:basedOn w:val="7"/>
    <w:qFormat/>
    <w:uiPriority w:val="0"/>
    <w:pPr>
      <w:adjustRightInd w:val="0"/>
      <w:snapToGrid w:val="0"/>
      <w:spacing w:line="360" w:lineRule="auto"/>
      <w:ind w:firstLine="0"/>
      <w:jc w:val="center"/>
    </w:pPr>
    <w:rPr>
      <w:rFonts w:ascii="宋体" w:hAnsi="宋体"/>
      <w:snapToGrid w:val="0"/>
      <w:color w:val="000000"/>
      <w:spacing w:val="-4"/>
      <w:sz w:val="24"/>
      <w:szCs w:val="32"/>
    </w:rPr>
  </w:style>
  <w:style w:type="paragraph" w:customStyle="1" w:styleId="626">
    <w:name w:val="样式 正文缩进s4标题4 + 左侧:  0.98 厘米 首行缩进:  2 字符1"/>
    <w:basedOn w:val="7"/>
    <w:qFormat/>
    <w:uiPriority w:val="0"/>
    <w:pPr>
      <w:adjustRightInd w:val="0"/>
      <w:snapToGrid w:val="0"/>
      <w:spacing w:line="360" w:lineRule="auto"/>
      <w:ind w:firstLine="0"/>
      <w:jc w:val="center"/>
    </w:pPr>
    <w:rPr>
      <w:rFonts w:ascii="宋体" w:hAnsi="宋体"/>
      <w:snapToGrid w:val="0"/>
      <w:color w:val="000000"/>
      <w:spacing w:val="-4"/>
      <w:kern w:val="16"/>
      <w:sz w:val="24"/>
      <w:szCs w:val="32"/>
    </w:rPr>
  </w:style>
  <w:style w:type="paragraph" w:customStyle="1" w:styleId="627">
    <w:name w:val="样式 样式 表格 + 左侧:  0.98 厘米 + 居中"/>
    <w:basedOn w:val="621"/>
    <w:qFormat/>
    <w:uiPriority w:val="0"/>
    <w:pPr>
      <w:jc w:val="center"/>
    </w:pPr>
  </w:style>
  <w:style w:type="paragraph" w:customStyle="1" w:styleId="628">
    <w:name w:val="样式 题注 + 左侧:  0.98 厘米 首行缩进:  2 字符"/>
    <w:basedOn w:val="23"/>
    <w:qFormat/>
    <w:uiPriority w:val="0"/>
    <w:pPr>
      <w:spacing w:before="120" w:after="0" w:line="300" w:lineRule="exact"/>
      <w:jc w:val="center"/>
      <w:textAlignment w:val="auto"/>
    </w:pPr>
    <w:rPr>
      <w:rFonts w:eastAsia="黑体" w:cs="Times New Roman"/>
      <w:snapToGrid w:val="0"/>
      <w:kern w:val="2"/>
    </w:rPr>
  </w:style>
  <w:style w:type="paragraph" w:customStyle="1" w:styleId="629">
    <w:name w:val="样式 表格 + 左侧:  0.98 厘米 行距: 固定值 12 磅"/>
    <w:basedOn w:val="1"/>
    <w:qFormat/>
    <w:uiPriority w:val="0"/>
    <w:pPr>
      <w:adjustRightInd w:val="0"/>
      <w:snapToGrid w:val="0"/>
      <w:spacing w:before="100" w:beforeAutospacing="1" w:after="100" w:afterAutospacing="1" w:line="240" w:lineRule="exact"/>
      <w:ind w:left="560" w:leftChars="200"/>
      <w:jc w:val="center"/>
    </w:pPr>
    <w:rPr>
      <w:rFonts w:ascii="Arial" w:hAnsi="Arial"/>
      <w:color w:val="000000"/>
      <w:sz w:val="24"/>
    </w:rPr>
  </w:style>
  <w:style w:type="paragraph" w:customStyle="1" w:styleId="630">
    <w:name w:val="样式 题注 + 段前: 0.5 行"/>
    <w:basedOn w:val="23"/>
    <w:qFormat/>
    <w:uiPriority w:val="0"/>
    <w:pPr>
      <w:keepNext/>
      <w:spacing w:beforeLines="50" w:after="0" w:line="360" w:lineRule="auto"/>
      <w:ind w:left="560" w:leftChars="200" w:firstLine="0" w:firstLineChars="0"/>
      <w:jc w:val="left"/>
      <w:textAlignment w:val="auto"/>
    </w:pPr>
    <w:rPr>
      <w:rFonts w:eastAsia="黑体" w:cs="Times New Roman"/>
      <w:snapToGrid w:val="0"/>
    </w:rPr>
  </w:style>
  <w:style w:type="paragraph" w:customStyle="1" w:styleId="631">
    <w:name w:val="样式 表格 + 加粗 居中 左侧:  0.98 厘米"/>
    <w:basedOn w:val="1"/>
    <w:qFormat/>
    <w:uiPriority w:val="0"/>
    <w:pPr>
      <w:adjustRightInd w:val="0"/>
      <w:snapToGrid w:val="0"/>
      <w:spacing w:before="100" w:beforeAutospacing="1" w:after="100" w:afterAutospacing="1"/>
      <w:ind w:left="560" w:leftChars="200"/>
      <w:jc w:val="center"/>
    </w:pPr>
    <w:rPr>
      <w:rFonts w:ascii="Arial" w:hAnsi="Arial"/>
      <w:b/>
      <w:bCs/>
      <w:color w:val="000000"/>
      <w:sz w:val="24"/>
    </w:rPr>
  </w:style>
  <w:style w:type="paragraph" w:customStyle="1" w:styleId="632">
    <w:name w:val="样式 表格 + 左侧:  0.98 厘米 字符缩放: 90%"/>
    <w:basedOn w:val="1"/>
    <w:qFormat/>
    <w:uiPriority w:val="0"/>
    <w:pPr>
      <w:adjustRightInd w:val="0"/>
      <w:snapToGrid w:val="0"/>
      <w:spacing w:before="100" w:beforeAutospacing="1" w:after="100" w:afterAutospacing="1"/>
      <w:ind w:left="560" w:leftChars="200"/>
      <w:jc w:val="center"/>
    </w:pPr>
    <w:rPr>
      <w:rFonts w:ascii="Arial" w:hAnsi="Arial"/>
      <w:color w:val="000000"/>
      <w:w w:val="90"/>
      <w:sz w:val="24"/>
    </w:rPr>
  </w:style>
  <w:style w:type="paragraph" w:customStyle="1" w:styleId="633">
    <w:name w:val="样式 正文缩进s4 + 首行缩进:  2 字符"/>
    <w:basedOn w:val="7"/>
    <w:qFormat/>
    <w:uiPriority w:val="0"/>
    <w:pPr>
      <w:adjustRightInd w:val="0"/>
      <w:snapToGrid w:val="0"/>
      <w:spacing w:line="360" w:lineRule="auto"/>
      <w:ind w:firstLine="0"/>
      <w:jc w:val="center"/>
    </w:pPr>
    <w:rPr>
      <w:rFonts w:ascii="宋体" w:hAnsi="宋体"/>
      <w:snapToGrid w:val="0"/>
      <w:color w:val="000000"/>
      <w:spacing w:val="-4"/>
      <w:sz w:val="24"/>
      <w:szCs w:val="32"/>
    </w:rPr>
  </w:style>
  <w:style w:type="paragraph" w:customStyle="1" w:styleId="634">
    <w:name w:val="样式 表格 + 左侧:  0.98 厘米 字距调整8 磅"/>
    <w:basedOn w:val="1"/>
    <w:qFormat/>
    <w:uiPriority w:val="0"/>
    <w:pPr>
      <w:adjustRightInd w:val="0"/>
      <w:snapToGrid w:val="0"/>
      <w:spacing w:before="100" w:beforeAutospacing="1" w:after="100" w:afterAutospacing="1"/>
      <w:ind w:left="560" w:leftChars="200"/>
      <w:jc w:val="center"/>
    </w:pPr>
    <w:rPr>
      <w:rFonts w:ascii="Arial" w:hAnsi="Arial"/>
      <w:color w:val="000000"/>
      <w:kern w:val="16"/>
      <w:sz w:val="24"/>
    </w:rPr>
  </w:style>
  <w:style w:type="paragraph" w:customStyle="1" w:styleId="635">
    <w:name w:val="样式 (西文) 仿宋_GB2312 左侧:  0.98 厘米"/>
    <w:basedOn w:val="1"/>
    <w:qFormat/>
    <w:uiPriority w:val="0"/>
    <w:pPr>
      <w:adjustRightInd w:val="0"/>
      <w:snapToGrid w:val="0"/>
      <w:spacing w:line="360" w:lineRule="auto"/>
      <w:ind w:firstLine="200" w:firstLineChars="200"/>
    </w:pPr>
    <w:rPr>
      <w:rFonts w:ascii="仿宋_GB2312" w:eastAsia="仿宋_GB2312"/>
      <w:sz w:val="28"/>
    </w:rPr>
  </w:style>
  <w:style w:type="paragraph" w:customStyle="1" w:styleId="636">
    <w:name w:val="样式 正文文本 + 左侧:  0.98 厘米"/>
    <w:basedOn w:val="1"/>
    <w:qFormat/>
    <w:uiPriority w:val="0"/>
    <w:pPr>
      <w:widowControl/>
      <w:tabs>
        <w:tab w:val="left" w:pos="3720"/>
      </w:tabs>
      <w:autoSpaceDE w:val="0"/>
      <w:autoSpaceDN w:val="0"/>
      <w:adjustRightInd w:val="0"/>
      <w:snapToGrid w:val="0"/>
      <w:spacing w:line="360" w:lineRule="auto"/>
      <w:ind w:firstLine="200" w:firstLineChars="200"/>
      <w:jc w:val="left"/>
      <w:textAlignment w:val="bottom"/>
    </w:pPr>
    <w:rPr>
      <w:rFonts w:ascii="仿宋_GB2312" w:eastAsia="仿宋_GB2312"/>
      <w:kern w:val="0"/>
      <w:sz w:val="28"/>
    </w:rPr>
  </w:style>
  <w:style w:type="paragraph" w:customStyle="1" w:styleId="637">
    <w:name w:val="样式 小表 + 两端对齐"/>
    <w:basedOn w:val="638"/>
    <w:qFormat/>
    <w:uiPriority w:val="0"/>
    <w:rPr>
      <w:rFonts w:ascii="Arial" w:hAnsi="Arial" w:cs="Arial"/>
      <w:sz w:val="21"/>
    </w:rPr>
  </w:style>
  <w:style w:type="paragraph" w:customStyle="1" w:styleId="638">
    <w:name w:val="小表"/>
    <w:basedOn w:val="1"/>
    <w:qFormat/>
    <w:uiPriority w:val="0"/>
    <w:pPr>
      <w:adjustRightInd w:val="0"/>
      <w:snapToGrid w:val="0"/>
      <w:spacing w:line="331" w:lineRule="auto"/>
      <w:jc w:val="center"/>
    </w:pPr>
    <w:rPr>
      <w:rFonts w:ascii="宋体" w:hAnsi="宋体"/>
      <w:snapToGrid w:val="0"/>
      <w:sz w:val="15"/>
    </w:rPr>
  </w:style>
  <w:style w:type="paragraph" w:customStyle="1" w:styleId="639">
    <w:name w:val="样式 表格 + 首行缩进:  2 字符"/>
    <w:basedOn w:val="1"/>
    <w:qFormat/>
    <w:uiPriority w:val="0"/>
    <w:pPr>
      <w:adjustRightInd w:val="0"/>
      <w:snapToGrid w:val="0"/>
      <w:spacing w:before="100" w:beforeAutospacing="1" w:after="100" w:afterAutospacing="1" w:line="331" w:lineRule="auto"/>
      <w:jc w:val="center"/>
    </w:pPr>
    <w:rPr>
      <w:rFonts w:ascii="Arial" w:hAnsi="Arial"/>
      <w:snapToGrid w:val="0"/>
      <w:kern w:val="0"/>
      <w:sz w:val="24"/>
    </w:rPr>
  </w:style>
  <w:style w:type="paragraph" w:customStyle="1" w:styleId="640">
    <w:name w:val="样式 样式 表格2 + 首行缩进:  2 字符 + 首行缩进:  2 字符"/>
    <w:basedOn w:val="641"/>
    <w:qFormat/>
    <w:uiPriority w:val="0"/>
    <w:pPr>
      <w:adjustRightInd w:val="0"/>
      <w:ind w:firstLine="0" w:firstLineChars="0"/>
      <w:outlineLvl w:val="0"/>
    </w:pPr>
    <w:rPr>
      <w:rFonts w:ascii="Arial" w:hAnsi="Arial" w:cs="Arial"/>
    </w:rPr>
  </w:style>
  <w:style w:type="paragraph" w:customStyle="1" w:styleId="641">
    <w:name w:val="样式 表格2 + 首行缩进:  2 字符"/>
    <w:basedOn w:val="1"/>
    <w:qFormat/>
    <w:uiPriority w:val="0"/>
    <w:pPr>
      <w:snapToGrid w:val="0"/>
      <w:spacing w:before="100" w:beforeAutospacing="1" w:after="100" w:afterAutospacing="1" w:line="240" w:lineRule="exact"/>
      <w:ind w:firstLine="420" w:firstLineChars="200"/>
      <w:jc w:val="center"/>
    </w:pPr>
    <w:rPr>
      <w:rFonts w:ascii="宋体" w:hAnsi="宋体"/>
      <w:snapToGrid w:val="0"/>
      <w:color w:val="000000"/>
      <w:kern w:val="0"/>
      <w:sz w:val="24"/>
    </w:rPr>
  </w:style>
  <w:style w:type="paragraph" w:customStyle="1" w:styleId="642">
    <w:name w:val="样式 样式 表格2 + 首行缩进:  2 字符1 +"/>
    <w:basedOn w:val="643"/>
    <w:qFormat/>
    <w:uiPriority w:val="0"/>
    <w:pPr>
      <w:ind w:firstLine="420" w:firstLineChars="200"/>
    </w:pPr>
  </w:style>
  <w:style w:type="paragraph" w:customStyle="1" w:styleId="643">
    <w:name w:val="样式 表格2 + 首行缩进:  2 字符1"/>
    <w:basedOn w:val="1"/>
    <w:qFormat/>
    <w:uiPriority w:val="0"/>
    <w:pPr>
      <w:adjustRightInd w:val="0"/>
      <w:snapToGrid w:val="0"/>
      <w:spacing w:before="100" w:beforeAutospacing="1" w:after="100" w:afterAutospacing="1" w:line="320" w:lineRule="exact"/>
      <w:jc w:val="center"/>
    </w:pPr>
    <w:rPr>
      <w:rFonts w:ascii="Arial" w:hAnsi="Arial" w:cs="Arial"/>
      <w:snapToGrid w:val="0"/>
      <w:color w:val="000000"/>
      <w:kern w:val="0"/>
      <w:sz w:val="24"/>
    </w:rPr>
  </w:style>
  <w:style w:type="paragraph" w:customStyle="1" w:styleId="644">
    <w:name w:val="样式 首行缩进:  1.92 字符"/>
    <w:basedOn w:val="1"/>
    <w:link w:val="1059"/>
    <w:qFormat/>
    <w:uiPriority w:val="0"/>
    <w:pPr>
      <w:adjustRightInd w:val="0"/>
      <w:snapToGrid w:val="0"/>
      <w:spacing w:line="360" w:lineRule="auto"/>
      <w:ind w:firstLine="200" w:firstLineChars="200"/>
    </w:pPr>
    <w:rPr>
      <w:rFonts w:eastAsia="仿宋_GB2312" w:cs="宋体"/>
      <w:sz w:val="28"/>
    </w:rPr>
  </w:style>
  <w:style w:type="paragraph" w:customStyle="1" w:styleId="645">
    <w:name w:val="样式  + (中文) 仿宋_GB2312 四号 段后: 0 磅 行距: 1.5 倍行距"/>
    <w:basedOn w:val="1"/>
    <w:qFormat/>
    <w:uiPriority w:val="0"/>
    <w:pPr>
      <w:adjustRightInd w:val="0"/>
      <w:snapToGrid w:val="0"/>
      <w:spacing w:line="360" w:lineRule="auto"/>
      <w:ind w:firstLine="200" w:firstLineChars="200"/>
    </w:pPr>
    <w:rPr>
      <w:rFonts w:eastAsia="仿宋_GB2312" w:cs="宋体"/>
      <w:sz w:val="28"/>
    </w:rPr>
  </w:style>
  <w:style w:type="paragraph" w:customStyle="1" w:styleId="646">
    <w:name w:val="样式 样式 样式 题注 + 首行缩进:  2 字符 + 首行缩进:  0.99 厘米 + 首行缩进:  0.5 字符"/>
    <w:basedOn w:val="1"/>
    <w:qFormat/>
    <w:uiPriority w:val="0"/>
    <w:pPr>
      <w:adjustRightInd w:val="0"/>
      <w:snapToGrid w:val="0"/>
      <w:spacing w:before="120" w:line="300" w:lineRule="auto"/>
      <w:ind w:firstLine="50" w:firstLineChars="50"/>
      <w:jc w:val="left"/>
    </w:pPr>
    <w:rPr>
      <w:rFonts w:ascii="Arial" w:hAnsi="Arial" w:eastAsia="黑体" w:cs="宋体"/>
      <w:snapToGrid w:val="0"/>
      <w:kern w:val="0"/>
    </w:rPr>
  </w:style>
  <w:style w:type="paragraph" w:customStyle="1" w:styleId="647">
    <w:name w:val="标题5"/>
    <w:basedOn w:val="350"/>
    <w:qFormat/>
    <w:uiPriority w:val="0"/>
    <w:pPr>
      <w:widowControl/>
      <w:tabs>
        <w:tab w:val="clear" w:pos="3735"/>
      </w:tabs>
      <w:adjustRightInd/>
      <w:snapToGrid/>
      <w:jc w:val="left"/>
      <w:textAlignment w:val="auto"/>
      <w:outlineLvl w:val="4"/>
    </w:pPr>
    <w:rPr>
      <w:rFonts w:ascii="黑体" w:eastAsia="黑体" w:cs="宋体"/>
      <w:b/>
      <w:bCs w:val="0"/>
    </w:rPr>
  </w:style>
  <w:style w:type="paragraph" w:customStyle="1" w:styleId="648">
    <w:name w:val="样式 表名 + 左侧:  0 厘米 悬挂缩进: 0.5 字符"/>
    <w:basedOn w:val="1"/>
    <w:qFormat/>
    <w:uiPriority w:val="0"/>
    <w:pPr>
      <w:overflowPunct w:val="0"/>
      <w:spacing w:before="120" w:line="300" w:lineRule="auto"/>
      <w:ind w:firstLine="50" w:firstLineChars="50"/>
      <w:jc w:val="left"/>
      <w:textAlignment w:val="baseline"/>
    </w:pPr>
    <w:rPr>
      <w:rFonts w:ascii="Arial" w:hAnsi="Arial" w:eastAsia="黑体" w:cs="宋体"/>
    </w:rPr>
  </w:style>
  <w:style w:type="paragraph" w:customStyle="1" w:styleId="649">
    <w:name w:val="样式 表格 + 首行缩进:  0.5 字符2"/>
    <w:basedOn w:val="1"/>
    <w:qFormat/>
    <w:uiPriority w:val="0"/>
    <w:pPr>
      <w:adjustRightInd w:val="0"/>
      <w:snapToGrid w:val="0"/>
      <w:spacing w:before="120" w:after="100" w:afterAutospacing="1" w:line="300" w:lineRule="auto"/>
      <w:jc w:val="left"/>
    </w:pPr>
    <w:rPr>
      <w:rFonts w:ascii="Arial" w:hAnsi="Arial" w:cs="宋体"/>
      <w:snapToGrid w:val="0"/>
      <w:kern w:val="0"/>
      <w:sz w:val="24"/>
    </w:rPr>
  </w:style>
  <w:style w:type="paragraph" w:customStyle="1" w:styleId="650">
    <w:name w:val="样式 样式 首行缩进:  2 字符 + 首行缩进:  2 字符1"/>
    <w:basedOn w:val="350"/>
    <w:qFormat/>
    <w:uiPriority w:val="0"/>
    <w:pPr>
      <w:widowControl/>
      <w:tabs>
        <w:tab w:val="clear" w:pos="3735"/>
      </w:tabs>
      <w:adjustRightInd/>
      <w:snapToGrid/>
      <w:ind w:firstLine="560" w:firstLineChars="200"/>
      <w:textAlignment w:val="auto"/>
    </w:pPr>
    <w:rPr>
      <w:rFonts w:ascii="Times New Roman" w:cs="宋体"/>
      <w:bCs w:val="0"/>
    </w:rPr>
  </w:style>
  <w:style w:type="paragraph" w:customStyle="1" w:styleId="651">
    <w:name w:val="样式 标题 3条标题1.1.13h33rd levelH3l3CT标题 3 Char2 Char Char1...."/>
    <w:basedOn w:val="8"/>
    <w:qFormat/>
    <w:uiPriority w:val="0"/>
    <w:pPr>
      <w:widowControl/>
      <w:tabs>
        <w:tab w:val="left" w:pos="432"/>
        <w:tab w:val="left" w:pos="720"/>
      </w:tabs>
      <w:spacing w:before="0" w:after="0" w:line="360" w:lineRule="auto"/>
      <w:ind w:left="828" w:hanging="720"/>
      <w:jc w:val="left"/>
    </w:pPr>
    <w:rPr>
      <w:rFonts w:eastAsia="黑体" w:cs="宋体"/>
      <w:kern w:val="0"/>
    </w:rPr>
  </w:style>
  <w:style w:type="paragraph" w:customStyle="1" w:styleId="652">
    <w:name w:val="样式 标题 4款标题1.1.1.1目 + 首行缩进:  2 字符"/>
    <w:basedOn w:val="9"/>
    <w:qFormat/>
    <w:uiPriority w:val="0"/>
    <w:pPr>
      <w:keepLines/>
      <w:widowControl/>
      <w:tabs>
        <w:tab w:val="left" w:pos="432"/>
        <w:tab w:val="left" w:pos="864"/>
      </w:tabs>
      <w:spacing w:after="290" w:line="377" w:lineRule="auto"/>
    </w:pPr>
    <w:rPr>
      <w:rFonts w:ascii="Arial" w:hAnsi="Arial" w:eastAsia="黑体" w:cs="宋体"/>
      <w:bCs/>
      <w:color w:val="auto"/>
      <w:kern w:val="0"/>
      <w:sz w:val="28"/>
      <w:szCs w:val="20"/>
    </w:rPr>
  </w:style>
  <w:style w:type="paragraph" w:customStyle="1" w:styleId="653">
    <w:name w:val="样式 样式 样式 标题 2 + + 段前: 1 行 + 段前: 1 行"/>
    <w:basedOn w:val="1"/>
    <w:qFormat/>
    <w:uiPriority w:val="0"/>
    <w:pPr>
      <w:keepNext/>
      <w:adjustRightInd w:val="0"/>
      <w:snapToGrid w:val="0"/>
      <w:spacing w:beforeLines="100" w:line="360" w:lineRule="auto"/>
      <w:jc w:val="left"/>
      <w:outlineLvl w:val="1"/>
    </w:pPr>
    <w:rPr>
      <w:rFonts w:ascii="Arial" w:hAnsi="Arial" w:eastAsia="黑体" w:cs="宋体"/>
      <w:sz w:val="32"/>
      <w:szCs w:val="32"/>
    </w:rPr>
  </w:style>
  <w:style w:type="paragraph" w:customStyle="1" w:styleId="654">
    <w:name w:val="样式 正文缩进正文（首行缩进两字） Char正文（首行缩进两字） Char Chars4正文缩进 Chars4 Cha...1"/>
    <w:basedOn w:val="7"/>
    <w:qFormat/>
    <w:uiPriority w:val="0"/>
    <w:pPr>
      <w:spacing w:line="360" w:lineRule="auto"/>
      <w:ind w:firstLine="0"/>
      <w:jc w:val="center"/>
    </w:pPr>
    <w:rPr>
      <w:rFonts w:ascii="宋体" w:hAnsi="宋体" w:cs="宋体"/>
      <w:snapToGrid w:val="0"/>
      <w:spacing w:val="-4"/>
      <w:sz w:val="24"/>
    </w:rPr>
  </w:style>
  <w:style w:type="paragraph" w:customStyle="1" w:styleId="655">
    <w:name w:val="样式 表格 + Times New Roman"/>
    <w:basedOn w:val="1"/>
    <w:link w:val="1018"/>
    <w:qFormat/>
    <w:uiPriority w:val="0"/>
    <w:pPr>
      <w:adjustRightInd w:val="0"/>
      <w:snapToGrid w:val="0"/>
      <w:spacing w:before="100" w:beforeAutospacing="1" w:after="100" w:afterAutospacing="1"/>
      <w:jc w:val="center"/>
    </w:pPr>
    <w:rPr>
      <w:rFonts w:ascii="Arial" w:hAnsi="Arial" w:cs="Arial"/>
      <w:snapToGrid w:val="0"/>
      <w:kern w:val="0"/>
      <w:szCs w:val="21"/>
    </w:rPr>
  </w:style>
  <w:style w:type="paragraph" w:customStyle="1" w:styleId="656">
    <w:name w:val="样式 首行缩进:  2 字符1"/>
    <w:basedOn w:val="1"/>
    <w:qFormat/>
    <w:uiPriority w:val="0"/>
    <w:pPr>
      <w:adjustRightInd w:val="0"/>
      <w:snapToGrid w:val="0"/>
      <w:spacing w:line="360" w:lineRule="auto"/>
      <w:ind w:firstLine="200" w:firstLineChars="200"/>
    </w:pPr>
    <w:rPr>
      <w:rFonts w:ascii="仿宋_GB2312" w:cs="宋体"/>
      <w:sz w:val="24"/>
      <w:szCs w:val="28"/>
    </w:rPr>
  </w:style>
  <w:style w:type="paragraph" w:customStyle="1" w:styleId="657">
    <w:name w:val="样式 表格 + 首行缩进:  2 字符1"/>
    <w:basedOn w:val="1"/>
    <w:qFormat/>
    <w:uiPriority w:val="0"/>
    <w:pPr>
      <w:adjustRightInd w:val="0"/>
      <w:snapToGrid w:val="0"/>
      <w:spacing w:before="100" w:beforeAutospacing="1" w:after="100" w:afterAutospacing="1" w:line="331" w:lineRule="auto"/>
      <w:ind w:firstLine="840" w:firstLineChars="400"/>
      <w:jc w:val="center"/>
    </w:pPr>
    <w:rPr>
      <w:rFonts w:ascii="黑体" w:hAnsi="Arial" w:cs="宋体"/>
      <w:snapToGrid w:val="0"/>
      <w:kern w:val="0"/>
    </w:rPr>
  </w:style>
  <w:style w:type="paragraph" w:customStyle="1" w:styleId="658">
    <w:name w:val="样式 正文文本缩进 3 + 首行缩进:  2 字符"/>
    <w:basedOn w:val="1"/>
    <w:qFormat/>
    <w:uiPriority w:val="0"/>
    <w:pPr>
      <w:adjustRightInd w:val="0"/>
      <w:snapToGrid w:val="0"/>
      <w:spacing w:line="360" w:lineRule="auto"/>
      <w:ind w:firstLine="200" w:firstLineChars="200"/>
    </w:pPr>
    <w:rPr>
      <w:rFonts w:eastAsia="幼圆" w:cs="宋体"/>
      <w:snapToGrid w:val="0"/>
      <w:kern w:val="0"/>
      <w:sz w:val="28"/>
    </w:rPr>
  </w:style>
  <w:style w:type="paragraph" w:customStyle="1" w:styleId="659">
    <w:name w:val="样式 标表 +"/>
    <w:basedOn w:val="1"/>
    <w:qFormat/>
    <w:uiPriority w:val="0"/>
    <w:pPr>
      <w:adjustRightInd w:val="0"/>
      <w:snapToGrid w:val="0"/>
      <w:spacing w:before="100" w:beforeAutospacing="1" w:after="100" w:afterAutospacing="1" w:line="331" w:lineRule="auto"/>
      <w:jc w:val="left"/>
    </w:pPr>
    <w:rPr>
      <w:rFonts w:ascii="Arial" w:hAnsi="Arial" w:cs="宋体"/>
      <w:snapToGrid w:val="0"/>
      <w:kern w:val="0"/>
    </w:rPr>
  </w:style>
  <w:style w:type="paragraph" w:customStyle="1" w:styleId="660">
    <w:name w:val="样式 标题 6 + 四号 非加粗 左 段前: 0 磅 段后: 0 磅 行距: 1.5 倍行距"/>
    <w:basedOn w:val="11"/>
    <w:qFormat/>
    <w:uiPriority w:val="0"/>
    <w:pPr>
      <w:tabs>
        <w:tab w:val="left" w:pos="432"/>
      </w:tabs>
      <w:adjustRightInd/>
      <w:spacing w:before="0" w:after="0" w:line="360" w:lineRule="auto"/>
      <w:jc w:val="left"/>
      <w:textAlignment w:val="auto"/>
    </w:pPr>
    <w:rPr>
      <w:rFonts w:eastAsia="楷体_GB2312" w:cs="宋体"/>
      <w:b w:val="0"/>
      <w:kern w:val="2"/>
      <w:sz w:val="28"/>
    </w:rPr>
  </w:style>
  <w:style w:type="paragraph" w:customStyle="1" w:styleId="661">
    <w:name w:val="样式 首行缩进:  1.92 字符1"/>
    <w:basedOn w:val="1"/>
    <w:qFormat/>
    <w:uiPriority w:val="0"/>
    <w:pPr>
      <w:adjustRightInd w:val="0"/>
      <w:snapToGrid w:val="0"/>
      <w:spacing w:line="360" w:lineRule="auto"/>
      <w:ind w:firstLine="192" w:firstLineChars="192"/>
    </w:pPr>
    <w:rPr>
      <w:rFonts w:eastAsia="仿宋_GB2312" w:cs="宋体"/>
      <w:sz w:val="28"/>
    </w:rPr>
  </w:style>
  <w:style w:type="paragraph" w:customStyle="1" w:styleId="662">
    <w:name w:val="样式 样式 表格 + 左侧:  0.98 厘米 + 两端对齐"/>
    <w:basedOn w:val="621"/>
    <w:qFormat/>
    <w:uiPriority w:val="0"/>
    <w:pPr>
      <w:autoSpaceDE w:val="0"/>
      <w:autoSpaceDN w:val="0"/>
      <w:spacing w:line="320" w:lineRule="exact"/>
      <w:ind w:right="23" w:firstLine="840" w:firstLineChars="400"/>
      <w:textAlignment w:val="bottom"/>
    </w:pPr>
    <w:rPr>
      <w:rFonts w:ascii="宋体" w:hAnsi="宋体" w:cs="宋体"/>
    </w:rPr>
  </w:style>
  <w:style w:type="paragraph" w:customStyle="1" w:styleId="663">
    <w:name w:val="样式 标题 6标题1.1.1.1.1.1 +"/>
    <w:basedOn w:val="11"/>
    <w:qFormat/>
    <w:uiPriority w:val="0"/>
    <w:pPr>
      <w:tabs>
        <w:tab w:val="left" w:pos="3080"/>
      </w:tabs>
      <w:autoSpaceDE w:val="0"/>
      <w:autoSpaceDN w:val="0"/>
      <w:snapToGrid w:val="0"/>
      <w:spacing w:before="0" w:after="0" w:line="360" w:lineRule="auto"/>
      <w:ind w:right="24"/>
      <w:jc w:val="left"/>
      <w:textAlignment w:val="bottom"/>
    </w:pPr>
    <w:rPr>
      <w:rFonts w:eastAsia="楷体_GB2312"/>
      <w:b w:val="0"/>
      <w:szCs w:val="24"/>
    </w:rPr>
  </w:style>
  <w:style w:type="paragraph" w:customStyle="1" w:styleId="664">
    <w:name w:val="样式8"/>
    <w:basedOn w:val="43"/>
    <w:qFormat/>
    <w:uiPriority w:val="0"/>
    <w:pPr>
      <w:tabs>
        <w:tab w:val="left" w:pos="1260"/>
        <w:tab w:val="right" w:leader="dot" w:pos="9060"/>
      </w:tabs>
      <w:spacing w:line="360" w:lineRule="auto"/>
      <w:ind w:left="420" w:leftChars="0"/>
      <w:jc w:val="left"/>
    </w:pPr>
    <w:rPr>
      <w:rFonts w:eastAsia="黑体"/>
      <w:i/>
      <w:iCs/>
      <w:sz w:val="24"/>
      <w:szCs w:val="24"/>
    </w:rPr>
  </w:style>
  <w:style w:type="paragraph" w:customStyle="1" w:styleId="665">
    <w:name w:val="文本框"/>
    <w:basedOn w:val="1"/>
    <w:qFormat/>
    <w:uiPriority w:val="0"/>
    <w:pPr>
      <w:spacing w:line="360" w:lineRule="exact"/>
      <w:jc w:val="center"/>
    </w:pPr>
  </w:style>
  <w:style w:type="paragraph" w:customStyle="1" w:styleId="666">
    <w:name w:val="样式 正文文本缩进 + 仿宋_GB2312 四号 段后: 0 磅 行距: 1.5 倍行距"/>
    <w:basedOn w:val="1"/>
    <w:link w:val="1060"/>
    <w:qFormat/>
    <w:uiPriority w:val="0"/>
    <w:pPr>
      <w:adjustRightInd w:val="0"/>
      <w:snapToGrid w:val="0"/>
      <w:spacing w:line="360" w:lineRule="auto"/>
      <w:ind w:firstLine="200" w:firstLineChars="200"/>
    </w:pPr>
    <w:rPr>
      <w:rFonts w:ascii="仿宋_GB2312" w:hAnsi="仿宋_GB2312" w:cs="宋体"/>
      <w:sz w:val="24"/>
    </w:rPr>
  </w:style>
  <w:style w:type="paragraph" w:customStyle="1" w:styleId="667">
    <w:name w:val="样式 首行缩进:  0.99 厘米"/>
    <w:basedOn w:val="1"/>
    <w:link w:val="1061"/>
    <w:qFormat/>
    <w:uiPriority w:val="0"/>
    <w:pPr>
      <w:adjustRightInd w:val="0"/>
      <w:snapToGrid w:val="0"/>
      <w:spacing w:line="360" w:lineRule="auto"/>
      <w:ind w:firstLine="561"/>
    </w:pPr>
    <w:rPr>
      <w:rFonts w:ascii="仿宋_GB2312" w:cs="宋体"/>
      <w:sz w:val="24"/>
      <w:szCs w:val="28"/>
    </w:rPr>
  </w:style>
  <w:style w:type="paragraph" w:customStyle="1" w:styleId="668">
    <w:name w:val="样式 仿宋_GB2312 首行缩进:  0.99 厘米"/>
    <w:basedOn w:val="1"/>
    <w:qFormat/>
    <w:uiPriority w:val="0"/>
    <w:pPr>
      <w:adjustRightInd w:val="0"/>
      <w:snapToGrid w:val="0"/>
      <w:spacing w:line="360" w:lineRule="auto"/>
      <w:ind w:firstLine="561"/>
    </w:pPr>
    <w:rPr>
      <w:rFonts w:ascii="仿宋_GB2312" w:eastAsia="仿宋_GB2312" w:cs="宋体"/>
      <w:sz w:val="28"/>
    </w:rPr>
  </w:style>
  <w:style w:type="paragraph" w:customStyle="1" w:styleId="669">
    <w:name w:val="样式 样式 首行缩进:  1.5 字符 + 首行缩进:  2 字符"/>
    <w:basedOn w:val="1"/>
    <w:qFormat/>
    <w:uiPriority w:val="0"/>
    <w:pPr>
      <w:adjustRightInd w:val="0"/>
      <w:snapToGrid w:val="0"/>
      <w:spacing w:line="360" w:lineRule="auto"/>
      <w:ind w:firstLine="200" w:firstLineChars="200"/>
    </w:pPr>
    <w:rPr>
      <w:rFonts w:eastAsia="仿宋_GB2312" w:cs="宋体"/>
      <w:sz w:val="28"/>
    </w:rPr>
  </w:style>
  <w:style w:type="paragraph" w:customStyle="1" w:styleId="670">
    <w:name w:val="样式 标题 2标题 1.1节标题 1.1标题 yjm2第一章 标题 2Heading 2 HiddenHeading..."/>
    <w:basedOn w:val="6"/>
    <w:qFormat/>
    <w:uiPriority w:val="0"/>
    <w:pPr>
      <w:tabs>
        <w:tab w:val="left" w:pos="432"/>
        <w:tab w:val="left" w:pos="576"/>
      </w:tabs>
      <w:adjustRightInd w:val="0"/>
      <w:snapToGrid w:val="0"/>
      <w:spacing w:beforeLines="50" w:line="360" w:lineRule="auto"/>
      <w:ind w:left="576" w:hanging="576"/>
      <w:jc w:val="left"/>
    </w:pPr>
    <w:rPr>
      <w:rFonts w:ascii="Arial" w:hAnsi="Arial" w:eastAsia="黑体"/>
      <w:color w:val="0000FF"/>
      <w:sz w:val="32"/>
      <w:szCs w:val="32"/>
    </w:rPr>
  </w:style>
  <w:style w:type="paragraph" w:customStyle="1" w:styleId="671">
    <w:name w:val="样式 样式 标题 3 + 首行缩进:  2 字符 + 首行缩进:  0.85 厘米"/>
    <w:basedOn w:val="1"/>
    <w:qFormat/>
    <w:uiPriority w:val="0"/>
    <w:pPr>
      <w:keepNext/>
      <w:keepLines/>
      <w:widowControl/>
      <w:spacing w:line="360" w:lineRule="auto"/>
      <w:outlineLvl w:val="2"/>
    </w:pPr>
    <w:rPr>
      <w:rFonts w:ascii="黑体" w:eastAsia="黑体" w:cs="宋体"/>
      <w:b/>
      <w:bCs/>
      <w:kern w:val="0"/>
      <w:sz w:val="28"/>
      <w:szCs w:val="28"/>
    </w:rPr>
  </w:style>
  <w:style w:type="paragraph" w:customStyle="1" w:styleId="672">
    <w:name w:val="样式 正文缩进s4正文缩进 Chars4 Char标题4表正文正文非缩进图标题文本正文不缩进 + 行距: 1...."/>
    <w:basedOn w:val="7"/>
    <w:qFormat/>
    <w:uiPriority w:val="0"/>
    <w:pPr>
      <w:spacing w:line="360" w:lineRule="auto"/>
      <w:ind w:firstLine="851"/>
      <w:jc w:val="center"/>
      <w:outlineLvl w:val="3"/>
    </w:pPr>
    <w:rPr>
      <w:rFonts w:ascii="宋体" w:hAnsi="宋体" w:cs="宋体"/>
      <w:b/>
      <w:snapToGrid w:val="0"/>
      <w:spacing w:val="-4"/>
      <w:sz w:val="24"/>
      <w:szCs w:val="24"/>
    </w:rPr>
  </w:style>
  <w:style w:type="paragraph" w:customStyle="1" w:styleId="673">
    <w:name w:val="样式 仿宋_GB2312 (符号) 宋体 左 首行缩进:  0.99 厘米"/>
    <w:basedOn w:val="1"/>
    <w:qFormat/>
    <w:uiPriority w:val="0"/>
    <w:pPr>
      <w:adjustRightInd w:val="0"/>
      <w:snapToGrid w:val="0"/>
      <w:spacing w:line="360" w:lineRule="auto"/>
      <w:ind w:firstLine="561"/>
      <w:jc w:val="left"/>
    </w:pPr>
    <w:rPr>
      <w:rFonts w:ascii="仿宋_GB2312" w:hAnsi="宋体" w:eastAsia="仿宋_GB2312" w:cs="宋体"/>
      <w:kern w:val="0"/>
      <w:sz w:val="28"/>
    </w:rPr>
  </w:style>
  <w:style w:type="paragraph" w:customStyle="1" w:styleId="674">
    <w:name w:val="样式 仿宋_GB2312 (符号) Verdana 首行缩进:  2 字符"/>
    <w:basedOn w:val="1"/>
    <w:qFormat/>
    <w:uiPriority w:val="0"/>
    <w:pPr>
      <w:adjustRightInd w:val="0"/>
      <w:snapToGrid w:val="0"/>
      <w:spacing w:line="360" w:lineRule="auto"/>
      <w:ind w:firstLine="200" w:firstLineChars="200"/>
    </w:pPr>
    <w:rPr>
      <w:rFonts w:ascii="仿宋_GB2312" w:hAnsi="Verdana" w:eastAsia="仿宋_GB2312" w:cs="宋体"/>
      <w:sz w:val="28"/>
    </w:rPr>
  </w:style>
  <w:style w:type="paragraph" w:customStyle="1" w:styleId="675">
    <w:name w:val="样式 表格 + 首行缩进:  1 字符 行距: 固定值 12 磅"/>
    <w:basedOn w:val="1"/>
    <w:qFormat/>
    <w:uiPriority w:val="0"/>
    <w:pPr>
      <w:adjustRightInd w:val="0"/>
      <w:snapToGrid w:val="0"/>
      <w:spacing w:before="100" w:beforeAutospacing="1" w:after="100" w:afterAutospacing="1" w:line="240" w:lineRule="exact"/>
      <w:jc w:val="center"/>
    </w:pPr>
    <w:rPr>
      <w:rFonts w:ascii="黑体" w:hAnsi="宋体"/>
      <w:snapToGrid w:val="0"/>
      <w:kern w:val="0"/>
    </w:rPr>
  </w:style>
  <w:style w:type="paragraph" w:customStyle="1" w:styleId="676">
    <w:name w:val="图名"/>
    <w:basedOn w:val="23"/>
    <w:qFormat/>
    <w:uiPriority w:val="0"/>
    <w:pPr>
      <w:adjustRightInd/>
      <w:snapToGrid/>
      <w:spacing w:before="0" w:after="0" w:line="520" w:lineRule="exact"/>
      <w:ind w:firstLine="0" w:firstLineChars="0"/>
      <w:jc w:val="center"/>
      <w:textAlignment w:val="auto"/>
    </w:pPr>
    <w:rPr>
      <w:rFonts w:cs="Times New Roman"/>
      <w:snapToGrid w:val="0"/>
      <w:kern w:val="2"/>
      <w:sz w:val="21"/>
    </w:rPr>
  </w:style>
  <w:style w:type="paragraph" w:customStyle="1" w:styleId="677">
    <w:name w:val="样式 标题 5标题1.1.1.1.1 + 段前: 0.2 行"/>
    <w:basedOn w:val="10"/>
    <w:qFormat/>
    <w:uiPriority w:val="0"/>
    <w:pPr>
      <w:tabs>
        <w:tab w:val="left" w:pos="1008"/>
      </w:tabs>
      <w:adjustRightInd w:val="0"/>
      <w:spacing w:beforeLines="20" w:after="0" w:line="360" w:lineRule="auto"/>
      <w:ind w:left="1008" w:hanging="1008"/>
      <w:jc w:val="left"/>
    </w:pPr>
    <w:rPr>
      <w:rFonts w:eastAsia="楷体_GB2312"/>
    </w:rPr>
  </w:style>
  <w:style w:type="paragraph" w:customStyle="1" w:styleId="678">
    <w:name w:val="目录"/>
    <w:basedOn w:val="1"/>
    <w:qFormat/>
    <w:uiPriority w:val="0"/>
    <w:pPr>
      <w:spacing w:line="520" w:lineRule="exact"/>
      <w:ind w:firstLine="200" w:firstLineChars="200"/>
      <w:jc w:val="center"/>
    </w:pPr>
    <w:rPr>
      <w:rFonts w:ascii="仿宋_GB2312" w:eastAsia="华文楷体"/>
      <w:sz w:val="28"/>
    </w:rPr>
  </w:style>
  <w:style w:type="paragraph" w:customStyle="1" w:styleId="679">
    <w:name w:val="样式 样式 样式 黑色 首行缩进:  2 字符 + 首行缩进:  2 字符 + 首行缩进:  2 字符"/>
    <w:basedOn w:val="1"/>
    <w:qFormat/>
    <w:uiPriority w:val="0"/>
    <w:pPr>
      <w:widowControl/>
      <w:spacing w:line="360" w:lineRule="auto"/>
      <w:ind w:firstLine="200" w:firstLineChars="200"/>
    </w:pPr>
    <w:rPr>
      <w:rFonts w:eastAsia="仿宋_GB2312"/>
      <w:color w:val="000000"/>
      <w:kern w:val="0"/>
      <w:sz w:val="28"/>
    </w:rPr>
  </w:style>
  <w:style w:type="paragraph" w:customStyle="1" w:styleId="680">
    <w:name w:val="标题 4款标题1.1.1.1"/>
    <w:basedOn w:val="9"/>
    <w:qFormat/>
    <w:uiPriority w:val="0"/>
    <w:pPr>
      <w:keepLines/>
      <w:tabs>
        <w:tab w:val="left" w:pos="432"/>
        <w:tab w:val="left" w:pos="864"/>
      </w:tabs>
      <w:adjustRightInd w:val="0"/>
      <w:snapToGrid w:val="0"/>
      <w:spacing w:beforeLines="20" w:afterLines="30" w:line="570" w:lineRule="exact"/>
      <w:jc w:val="left"/>
    </w:pPr>
    <w:rPr>
      <w:rFonts w:ascii="Arial" w:hAnsi="Arial" w:eastAsia="黑体"/>
      <w:b w:val="0"/>
      <w:color w:val="auto"/>
      <w:sz w:val="28"/>
      <w:szCs w:val="20"/>
    </w:rPr>
  </w:style>
  <w:style w:type="paragraph" w:customStyle="1" w:styleId="681">
    <w:name w:val="样式  + 仿宋_GB2312 四号 段后: 0 磅 行距: 1.5 倍行距1"/>
    <w:basedOn w:val="1"/>
    <w:qFormat/>
    <w:uiPriority w:val="0"/>
    <w:pPr>
      <w:adjustRightInd w:val="0"/>
      <w:snapToGrid w:val="0"/>
      <w:spacing w:line="360" w:lineRule="auto"/>
      <w:ind w:firstLine="200" w:firstLineChars="200"/>
    </w:pPr>
    <w:rPr>
      <w:rFonts w:ascii="仿宋_GB2312" w:eastAsia="仿宋_GB2312"/>
      <w:kern w:val="0"/>
      <w:sz w:val="28"/>
    </w:rPr>
  </w:style>
  <w:style w:type="paragraph" w:customStyle="1" w:styleId="682">
    <w:name w:val="样式 (中文) 楷体_GB2312 四号"/>
    <w:basedOn w:val="1"/>
    <w:link w:val="1128"/>
    <w:qFormat/>
    <w:uiPriority w:val="0"/>
    <w:pPr>
      <w:spacing w:line="360" w:lineRule="auto"/>
      <w:ind w:firstLine="622" w:firstLineChars="222"/>
    </w:pPr>
    <w:rPr>
      <w:rFonts w:eastAsia="楷体_GB2312"/>
      <w:sz w:val="28"/>
    </w:rPr>
  </w:style>
  <w:style w:type="paragraph" w:customStyle="1" w:styleId="683">
    <w:name w:val="样式 列表 + 左侧:  0 厘米 悬挂缩进: 2 字符"/>
    <w:basedOn w:val="1"/>
    <w:qFormat/>
    <w:uiPriority w:val="0"/>
    <w:pPr>
      <w:adjustRightInd w:val="0"/>
      <w:snapToGrid w:val="0"/>
    </w:pPr>
    <w:rPr>
      <w:rFonts w:cs="宋体"/>
    </w:rPr>
  </w:style>
  <w:style w:type="paragraph" w:customStyle="1" w:styleId="684">
    <w:name w:val="Char Char6 Char Char Char Char Char Char Char Char Char Char Char Char Char"/>
    <w:basedOn w:val="1"/>
    <w:qFormat/>
    <w:uiPriority w:val="0"/>
    <w:rPr>
      <w:sz w:val="24"/>
      <w:szCs w:val="24"/>
    </w:rPr>
  </w:style>
  <w:style w:type="paragraph" w:customStyle="1" w:styleId="685">
    <w:name w:val="Char Char2 Char"/>
    <w:basedOn w:val="1"/>
    <w:qFormat/>
    <w:uiPriority w:val="0"/>
    <w:pPr>
      <w:tabs>
        <w:tab w:val="left" w:pos="625"/>
      </w:tabs>
      <w:spacing w:line="360" w:lineRule="auto"/>
      <w:ind w:left="625" w:hanging="425"/>
    </w:pPr>
    <w:rPr>
      <w:rFonts w:ascii="宋体" w:hAnsi="宋体" w:cs="宋体"/>
      <w:sz w:val="24"/>
      <w:szCs w:val="24"/>
    </w:rPr>
  </w:style>
  <w:style w:type="paragraph" w:customStyle="1" w:styleId="686">
    <w:name w:val="Char1 Char Char Char"/>
    <w:basedOn w:val="1"/>
    <w:qFormat/>
    <w:uiPriority w:val="0"/>
    <w:rPr>
      <w:szCs w:val="24"/>
    </w:rPr>
  </w:style>
  <w:style w:type="paragraph" w:customStyle="1" w:styleId="687">
    <w:name w:val="默认段落字体 Para Char Char Char Char Char"/>
    <w:basedOn w:val="1"/>
    <w:qFormat/>
    <w:uiPriority w:val="0"/>
    <w:rPr>
      <w:rFonts w:ascii="宋体" w:hAnsi="宋体"/>
      <w:b/>
      <w:color w:val="000000"/>
      <w:sz w:val="24"/>
      <w:szCs w:val="24"/>
    </w:rPr>
  </w:style>
  <w:style w:type="paragraph" w:customStyle="1" w:styleId="688">
    <w:name w:val="Char Char6 Char Char Char Char Char Char Char Char Char Char2 Char Char Char2"/>
    <w:basedOn w:val="1"/>
    <w:qFormat/>
    <w:uiPriority w:val="0"/>
    <w:pPr>
      <w:spacing w:line="360" w:lineRule="auto"/>
      <w:ind w:firstLine="200" w:firstLineChars="200"/>
    </w:pPr>
    <w:rPr>
      <w:rFonts w:ascii="宋体" w:hAnsi="宋体" w:cs="宋体"/>
      <w:sz w:val="24"/>
      <w:szCs w:val="24"/>
    </w:rPr>
  </w:style>
  <w:style w:type="paragraph" w:customStyle="1" w:styleId="689">
    <w:name w:val="Char Char3 Char Char Char Char Char Char Char"/>
    <w:basedOn w:val="1"/>
    <w:qFormat/>
    <w:uiPriority w:val="0"/>
    <w:pPr>
      <w:spacing w:line="360" w:lineRule="auto"/>
      <w:ind w:firstLine="200" w:firstLineChars="200"/>
    </w:pPr>
    <w:rPr>
      <w:kern w:val="0"/>
      <w:sz w:val="24"/>
      <w:szCs w:val="24"/>
    </w:rPr>
  </w:style>
  <w:style w:type="paragraph" w:customStyle="1" w:styleId="690">
    <w:name w:val="样式 题注 + (西文) Times New Roman (中文) 宋体 五号 段前: 0 磅 段后: 0 磅 行距:...1"/>
    <w:basedOn w:val="23"/>
    <w:qFormat/>
    <w:uiPriority w:val="0"/>
    <w:pPr>
      <w:widowControl/>
      <w:adjustRightInd/>
      <w:snapToGrid/>
      <w:spacing w:before="0" w:after="0" w:line="490" w:lineRule="exact"/>
      <w:ind w:firstLine="0" w:firstLineChars="0"/>
      <w:textAlignment w:val="auto"/>
    </w:pPr>
    <w:rPr>
      <w:rFonts w:ascii="Times New Roman" w:hAnsi="Times New Roman" w:cs="宋体"/>
      <w:snapToGrid w:val="0"/>
      <w:sz w:val="21"/>
    </w:rPr>
  </w:style>
  <w:style w:type="paragraph" w:customStyle="1" w:styleId="691">
    <w:name w:val="Char6"/>
    <w:basedOn w:val="1"/>
    <w:qFormat/>
    <w:uiPriority w:val="0"/>
    <w:pPr>
      <w:spacing w:line="360" w:lineRule="auto"/>
      <w:ind w:firstLine="200" w:firstLineChars="200"/>
    </w:pPr>
    <w:rPr>
      <w:rFonts w:ascii="宋体" w:hAnsi="宋体" w:cs="宋体"/>
      <w:sz w:val="24"/>
      <w:szCs w:val="24"/>
    </w:rPr>
  </w:style>
  <w:style w:type="paragraph" w:customStyle="1" w:styleId="692">
    <w:name w:val="Char Char3 Char Char Char Char Char Char Char1"/>
    <w:basedOn w:val="1"/>
    <w:qFormat/>
    <w:uiPriority w:val="0"/>
    <w:pPr>
      <w:spacing w:line="360" w:lineRule="auto"/>
      <w:ind w:firstLine="200" w:firstLineChars="200"/>
    </w:pPr>
    <w:rPr>
      <w:kern w:val="0"/>
      <w:sz w:val="24"/>
      <w:szCs w:val="24"/>
    </w:rPr>
  </w:style>
  <w:style w:type="paragraph" w:customStyle="1" w:styleId="693">
    <w:name w:val="正文缩进四号"/>
    <w:basedOn w:val="7"/>
    <w:link w:val="1017"/>
    <w:qFormat/>
    <w:uiPriority w:val="0"/>
    <w:pPr>
      <w:adjustRightInd w:val="0"/>
      <w:snapToGrid w:val="0"/>
      <w:spacing w:line="360" w:lineRule="auto"/>
      <w:ind w:firstLine="0"/>
      <w:jc w:val="center"/>
    </w:pPr>
    <w:rPr>
      <w:rFonts w:ascii="宋体" w:hAnsi="宋体"/>
      <w:snapToGrid w:val="0"/>
      <w:spacing w:val="-4"/>
      <w:kern w:val="16"/>
      <w:sz w:val="24"/>
      <w:szCs w:val="32"/>
    </w:rPr>
  </w:style>
  <w:style w:type="paragraph" w:customStyle="1" w:styleId="694">
    <w:name w:val="Char1 Char Char Char Char Char Char Char Char"/>
    <w:basedOn w:val="1"/>
    <w:qFormat/>
    <w:uiPriority w:val="0"/>
    <w:pPr>
      <w:spacing w:line="360" w:lineRule="auto"/>
    </w:pPr>
    <w:rPr>
      <w:rFonts w:ascii="宋体" w:hAnsi="宋体" w:cs="宋体"/>
      <w:sz w:val="24"/>
      <w:szCs w:val="24"/>
    </w:rPr>
  </w:style>
  <w:style w:type="paragraph" w:customStyle="1" w:styleId="695">
    <w:name w:val="特性表注"/>
    <w:basedOn w:val="1"/>
    <w:qFormat/>
    <w:uiPriority w:val="0"/>
    <w:rPr>
      <w:rFonts w:ascii="宋体" w:hAnsi="宋体"/>
      <w:szCs w:val="24"/>
    </w:rPr>
  </w:style>
  <w:style w:type="paragraph" w:customStyle="1" w:styleId="696">
    <w:name w:val="Char Char6 Char Char Char"/>
    <w:basedOn w:val="1"/>
    <w:qFormat/>
    <w:uiPriority w:val="0"/>
    <w:pPr>
      <w:spacing w:line="360" w:lineRule="auto"/>
      <w:ind w:firstLine="200" w:firstLineChars="200"/>
    </w:pPr>
    <w:rPr>
      <w:rFonts w:ascii="宋体" w:hAnsi="宋体" w:cs="宋体"/>
      <w:sz w:val="24"/>
      <w:szCs w:val="24"/>
    </w:rPr>
  </w:style>
  <w:style w:type="paragraph" w:customStyle="1" w:styleId="697">
    <w:name w:val="font0"/>
    <w:basedOn w:val="1"/>
    <w:next w:val="7"/>
    <w:qFormat/>
    <w:uiPriority w:val="0"/>
    <w:pPr>
      <w:widowControl/>
      <w:spacing w:before="100" w:beforeAutospacing="1" w:after="100" w:afterAutospacing="1"/>
      <w:jc w:val="center"/>
    </w:pPr>
    <w:rPr>
      <w:rFonts w:ascii="黑体" w:hAnsi="宋体" w:eastAsia="黑体" w:cs="Arial Unicode MS"/>
      <w:kern w:val="0"/>
      <w:sz w:val="36"/>
      <w:szCs w:val="24"/>
    </w:rPr>
  </w:style>
  <w:style w:type="paragraph" w:customStyle="1" w:styleId="698">
    <w:name w:val="表格1"/>
    <w:basedOn w:val="1"/>
    <w:qFormat/>
    <w:uiPriority w:val="0"/>
    <w:pPr>
      <w:adjustRightInd w:val="0"/>
      <w:spacing w:before="160" w:line="400" w:lineRule="exact"/>
      <w:textAlignment w:val="baseline"/>
    </w:pPr>
    <w:rPr>
      <w:rFonts w:ascii="仿宋_GB2312"/>
      <w:spacing w:val="20"/>
      <w:kern w:val="0"/>
      <w:sz w:val="24"/>
    </w:rPr>
  </w:style>
  <w:style w:type="paragraph" w:customStyle="1" w:styleId="699">
    <w:name w:val="xl26"/>
    <w:basedOn w:val="1"/>
    <w:qFormat/>
    <w:uiPriority w:val="0"/>
    <w:pPr>
      <w:widowControl/>
      <w:pBdr>
        <w:right w:val="single" w:color="auto" w:sz="4" w:space="0"/>
      </w:pBdr>
      <w:adjustRightInd w:val="0"/>
      <w:snapToGrid w:val="0"/>
      <w:spacing w:before="100" w:after="100"/>
      <w:ind w:firstLine="200" w:firstLineChars="200"/>
      <w:jc w:val="center"/>
      <w:textAlignment w:val="top"/>
    </w:pPr>
    <w:rPr>
      <w:rFonts w:ascii="宋体" w:hAnsi="宋体"/>
      <w:kern w:val="0"/>
    </w:rPr>
  </w:style>
  <w:style w:type="paragraph" w:customStyle="1" w:styleId="700">
    <w:name w:val="xl29"/>
    <w:basedOn w:val="1"/>
    <w:qFormat/>
    <w:uiPriority w:val="0"/>
    <w:pPr>
      <w:widowControl/>
      <w:pBdr>
        <w:bottom w:val="single" w:color="auto" w:sz="4" w:space="0"/>
        <w:right w:val="single" w:color="auto" w:sz="4" w:space="0"/>
      </w:pBdr>
      <w:adjustRightInd w:val="0"/>
      <w:snapToGrid w:val="0"/>
      <w:spacing w:before="100" w:after="100"/>
      <w:ind w:firstLine="200" w:firstLineChars="200"/>
      <w:textAlignment w:val="top"/>
    </w:pPr>
    <w:rPr>
      <w:rFonts w:ascii="宋体" w:hAnsi="宋体"/>
      <w:kern w:val="0"/>
    </w:rPr>
  </w:style>
  <w:style w:type="paragraph" w:customStyle="1" w:styleId="701">
    <w:name w:val="样式 左 左侧:  0.98 厘米"/>
    <w:basedOn w:val="1"/>
    <w:qFormat/>
    <w:uiPriority w:val="0"/>
    <w:pPr>
      <w:adjustRightInd w:val="0"/>
      <w:snapToGrid w:val="0"/>
      <w:spacing w:line="360" w:lineRule="auto"/>
      <w:ind w:firstLine="200" w:firstLineChars="200"/>
      <w:jc w:val="left"/>
    </w:pPr>
    <w:rPr>
      <w:rFonts w:eastAsia="仿宋_GB2312"/>
      <w:sz w:val="28"/>
    </w:rPr>
  </w:style>
  <w:style w:type="paragraph" w:customStyle="1" w:styleId="702">
    <w:name w:val="样式 (西文) 宋体 左侧:  0.98 厘米"/>
    <w:basedOn w:val="1"/>
    <w:qFormat/>
    <w:uiPriority w:val="0"/>
    <w:pPr>
      <w:adjustRightInd w:val="0"/>
      <w:snapToGrid w:val="0"/>
      <w:spacing w:line="360" w:lineRule="auto"/>
      <w:ind w:firstLine="200" w:firstLineChars="200"/>
    </w:pPr>
    <w:rPr>
      <w:rFonts w:ascii="宋体" w:eastAsia="仿宋_GB2312"/>
      <w:sz w:val="28"/>
    </w:rPr>
  </w:style>
  <w:style w:type="paragraph" w:customStyle="1" w:styleId="703">
    <w:name w:val="样式 左侧:  0.98 厘米 字距调整小四"/>
    <w:basedOn w:val="1"/>
    <w:qFormat/>
    <w:uiPriority w:val="0"/>
    <w:pPr>
      <w:adjustRightInd w:val="0"/>
      <w:snapToGrid w:val="0"/>
      <w:spacing w:line="360" w:lineRule="auto"/>
      <w:ind w:firstLine="200" w:firstLineChars="200"/>
    </w:pPr>
    <w:rPr>
      <w:rFonts w:eastAsia="仿宋_GB2312"/>
      <w:kern w:val="24"/>
      <w:sz w:val="28"/>
    </w:rPr>
  </w:style>
  <w:style w:type="paragraph" w:customStyle="1" w:styleId="704">
    <w:name w:val="样式 左侧:  0.98 厘米 首行缩进:  2.25 字符"/>
    <w:basedOn w:val="1"/>
    <w:qFormat/>
    <w:uiPriority w:val="0"/>
    <w:pPr>
      <w:adjustRightInd w:val="0"/>
      <w:snapToGrid w:val="0"/>
      <w:spacing w:line="360" w:lineRule="auto"/>
      <w:ind w:firstLine="200" w:firstLineChars="200"/>
    </w:pPr>
    <w:rPr>
      <w:rFonts w:eastAsia="仿宋_GB2312"/>
      <w:sz w:val="28"/>
    </w:rPr>
  </w:style>
  <w:style w:type="paragraph" w:customStyle="1" w:styleId="705">
    <w:name w:val="样式 左侧:  0.98 厘米1"/>
    <w:basedOn w:val="1"/>
    <w:qFormat/>
    <w:uiPriority w:val="0"/>
    <w:pPr>
      <w:adjustRightInd w:val="0"/>
      <w:snapToGrid w:val="0"/>
      <w:spacing w:line="360" w:lineRule="auto"/>
      <w:ind w:firstLine="200" w:firstLineChars="200"/>
    </w:pPr>
    <w:rPr>
      <w:rFonts w:eastAsia="仿宋_GB2312"/>
      <w:kern w:val="0"/>
      <w:sz w:val="28"/>
    </w:rPr>
  </w:style>
  <w:style w:type="paragraph" w:customStyle="1" w:styleId="706">
    <w:name w:val="特性表"/>
    <w:basedOn w:val="1"/>
    <w:qFormat/>
    <w:uiPriority w:val="0"/>
    <w:pPr>
      <w:adjustRightInd w:val="0"/>
      <w:snapToGrid w:val="0"/>
      <w:spacing w:line="360" w:lineRule="auto"/>
      <w:jc w:val="center"/>
    </w:pPr>
    <w:rPr>
      <w:rFonts w:ascii="黑体" w:hAnsi="宋体" w:eastAsia="黑体"/>
      <w:sz w:val="30"/>
    </w:rPr>
  </w:style>
  <w:style w:type="paragraph" w:customStyle="1" w:styleId="707">
    <w:name w:val="表格（六号）"/>
    <w:basedOn w:val="1"/>
    <w:next w:val="7"/>
    <w:qFormat/>
    <w:uiPriority w:val="0"/>
    <w:pPr>
      <w:spacing w:line="315" w:lineRule="exact"/>
      <w:jc w:val="center"/>
    </w:pPr>
    <w:rPr>
      <w:rFonts w:ascii="宋体" w:hAnsi="宋体"/>
      <w:kern w:val="0"/>
      <w:sz w:val="15"/>
    </w:rPr>
  </w:style>
  <w:style w:type="paragraph" w:customStyle="1" w:styleId="708">
    <w:name w:val="xl27"/>
    <w:basedOn w:val="1"/>
    <w:qFormat/>
    <w:uiPriority w:val="0"/>
    <w:pPr>
      <w:widowControl/>
      <w:spacing w:before="100" w:beforeAutospacing="1" w:after="100" w:afterAutospacing="1"/>
      <w:jc w:val="center"/>
    </w:pPr>
    <w:rPr>
      <w:rFonts w:eastAsia="Arial Unicode MS"/>
      <w:kern w:val="0"/>
      <w:sz w:val="24"/>
      <w:szCs w:val="24"/>
    </w:rPr>
  </w:style>
  <w:style w:type="paragraph" w:customStyle="1" w:styleId="709">
    <w:name w:val="xl28"/>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710">
    <w:name w:val="xl30"/>
    <w:basedOn w:val="1"/>
    <w:qFormat/>
    <w:uiPriority w:val="0"/>
    <w:pPr>
      <w:widowControl/>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711">
    <w:name w:val="xl31"/>
    <w:basedOn w:val="1"/>
    <w:qFormat/>
    <w:uiPriority w:val="0"/>
    <w:pPr>
      <w:widowControl/>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712">
    <w:name w:val="xl22"/>
    <w:basedOn w:val="1"/>
    <w:qFormat/>
    <w:uiPriority w:val="0"/>
    <w:pPr>
      <w:widowControl/>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713">
    <w:name w:val="xl23"/>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714">
    <w:name w:val="正文（缩进2）"/>
    <w:basedOn w:val="1"/>
    <w:qFormat/>
    <w:uiPriority w:val="0"/>
    <w:pPr>
      <w:spacing w:line="490" w:lineRule="exact"/>
      <w:ind w:firstLine="560" w:firstLineChars="200"/>
    </w:pPr>
    <w:rPr>
      <w:rFonts w:eastAsia="仿宋_GB2312"/>
      <w:color w:val="000000"/>
      <w:spacing w:val="-490"/>
      <w:sz w:val="28"/>
    </w:rPr>
  </w:style>
  <w:style w:type="paragraph" w:customStyle="1" w:styleId="715">
    <w:name w:val="xl32"/>
    <w:basedOn w:val="1"/>
    <w:qFormat/>
    <w:uiPriority w:val="0"/>
    <w:pPr>
      <w:widowControl/>
      <w:spacing w:before="100" w:beforeAutospacing="1" w:after="100" w:afterAutospacing="1"/>
      <w:jc w:val="center"/>
    </w:pPr>
    <w:rPr>
      <w:rFonts w:ascii="Arial Unicode MS" w:hAnsi="Arial Unicode MS" w:eastAsia="Arial Unicode MS" w:cs="Arial Unicode MS"/>
      <w:b/>
      <w:bCs/>
      <w:kern w:val="0"/>
      <w:sz w:val="24"/>
      <w:szCs w:val="24"/>
    </w:rPr>
  </w:style>
  <w:style w:type="paragraph" w:customStyle="1" w:styleId="716">
    <w:name w:val="xl33"/>
    <w:basedOn w:val="1"/>
    <w:qFormat/>
    <w:uiPriority w:val="0"/>
    <w:pPr>
      <w:widowControl/>
      <w:spacing w:before="100" w:beforeAutospacing="1" w:after="100" w:afterAutospacing="1"/>
      <w:jc w:val="center"/>
    </w:pPr>
    <w:rPr>
      <w:rFonts w:ascii="Arial Unicode MS" w:hAnsi="Arial Unicode MS" w:eastAsia="Arial Unicode MS" w:cs="Arial Unicode MS"/>
      <w:b/>
      <w:bCs/>
      <w:kern w:val="0"/>
      <w:sz w:val="24"/>
      <w:szCs w:val="24"/>
    </w:rPr>
  </w:style>
  <w:style w:type="paragraph" w:customStyle="1" w:styleId="717">
    <w:name w:val="xl34"/>
    <w:basedOn w:val="1"/>
    <w:qFormat/>
    <w:uiPriority w:val="0"/>
    <w:pPr>
      <w:widowControl/>
      <w:spacing w:before="100" w:beforeAutospacing="1" w:after="100" w:afterAutospacing="1"/>
      <w:jc w:val="center"/>
    </w:pPr>
    <w:rPr>
      <w:rFonts w:ascii="Arial Unicode MS" w:hAnsi="Arial Unicode MS" w:eastAsia="Arial Unicode MS" w:cs="Arial Unicode MS"/>
      <w:b/>
      <w:bCs/>
      <w:kern w:val="0"/>
      <w:sz w:val="24"/>
      <w:szCs w:val="24"/>
    </w:rPr>
  </w:style>
  <w:style w:type="paragraph" w:customStyle="1" w:styleId="718">
    <w:name w:val="xl35"/>
    <w:basedOn w:val="1"/>
    <w:qFormat/>
    <w:uiPriority w:val="0"/>
    <w:pPr>
      <w:widowControl/>
      <w:spacing w:before="100" w:beforeAutospacing="1" w:after="100" w:afterAutospacing="1"/>
      <w:jc w:val="center"/>
    </w:pPr>
    <w:rPr>
      <w:rFonts w:ascii="Arial Unicode MS" w:hAnsi="Arial Unicode MS" w:eastAsia="Arial Unicode MS" w:cs="Arial Unicode MS"/>
      <w:color w:val="FF0000"/>
      <w:kern w:val="0"/>
      <w:sz w:val="24"/>
      <w:szCs w:val="24"/>
    </w:rPr>
  </w:style>
  <w:style w:type="paragraph" w:customStyle="1" w:styleId="719">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FF0000"/>
      <w:kern w:val="0"/>
      <w:sz w:val="24"/>
      <w:szCs w:val="24"/>
    </w:rPr>
  </w:style>
  <w:style w:type="paragraph" w:customStyle="1" w:styleId="720">
    <w:name w:val="xl37"/>
    <w:basedOn w:val="1"/>
    <w:qFormat/>
    <w:uiPriority w:val="0"/>
    <w:pPr>
      <w:widowControl/>
      <w:spacing w:before="100" w:beforeAutospacing="1" w:after="100" w:afterAutospacing="1"/>
      <w:jc w:val="center"/>
    </w:pPr>
    <w:rPr>
      <w:rFonts w:ascii="Arial Unicode MS" w:hAnsi="Arial Unicode MS" w:eastAsia="Arial Unicode MS" w:cs="Arial Unicode MS"/>
      <w:b/>
      <w:bCs/>
      <w:kern w:val="0"/>
      <w:sz w:val="24"/>
      <w:szCs w:val="24"/>
    </w:rPr>
  </w:style>
  <w:style w:type="paragraph" w:customStyle="1" w:styleId="721">
    <w:name w:val="样式 样式 左侧:  0.98 厘米 + 首行缩进:  2 字符"/>
    <w:basedOn w:val="415"/>
    <w:qFormat/>
    <w:uiPriority w:val="0"/>
    <w:pPr>
      <w:spacing w:line="360" w:lineRule="auto"/>
    </w:pPr>
    <w:rPr>
      <w:rFonts w:ascii="幼圆" w:hAnsi="幼圆"/>
    </w:rPr>
  </w:style>
  <w:style w:type="paragraph" w:customStyle="1" w:styleId="722">
    <w:name w:val="样式9"/>
    <w:basedOn w:val="1"/>
    <w:qFormat/>
    <w:uiPriority w:val="0"/>
    <w:pPr>
      <w:adjustRightInd w:val="0"/>
      <w:spacing w:line="530" w:lineRule="exact"/>
      <w:ind w:firstLine="600" w:firstLineChars="200"/>
      <w:textAlignment w:val="baseline"/>
    </w:pPr>
    <w:rPr>
      <w:rFonts w:eastAsia="幼圆"/>
      <w:kern w:val="0"/>
      <w:sz w:val="30"/>
      <w:szCs w:val="30"/>
    </w:rPr>
  </w:style>
  <w:style w:type="paragraph" w:customStyle="1" w:styleId="723">
    <w:name w:val="h"/>
    <w:basedOn w:val="1"/>
    <w:next w:val="1"/>
    <w:qFormat/>
    <w:uiPriority w:val="0"/>
    <w:pPr>
      <w:adjustRightInd w:val="0"/>
      <w:spacing w:before="350" w:after="180" w:line="530" w:lineRule="exact"/>
      <w:textAlignment w:val="baseline"/>
      <w:outlineLvl w:val="1"/>
    </w:pPr>
    <w:rPr>
      <w:rFonts w:ascii="Arial" w:hAnsi="Arial" w:eastAsia="黑体"/>
      <w:kern w:val="0"/>
      <w:sz w:val="32"/>
      <w:szCs w:val="32"/>
    </w:rPr>
  </w:style>
  <w:style w:type="paragraph" w:customStyle="1" w:styleId="724">
    <w:name w:val="样式 标题 2节标题 1.11.1标题2b2标题2标题 1.1节标题W21.1标题 2h2l22nd le..."/>
    <w:basedOn w:val="6"/>
    <w:qFormat/>
    <w:uiPriority w:val="0"/>
    <w:pPr>
      <w:keepLines/>
      <w:widowControl/>
      <w:tabs>
        <w:tab w:val="left" w:pos="432"/>
        <w:tab w:val="left" w:pos="576"/>
      </w:tabs>
      <w:spacing w:beforeLines="100" w:line="360" w:lineRule="auto"/>
      <w:jc w:val="left"/>
    </w:pPr>
    <w:rPr>
      <w:rFonts w:ascii="Arial" w:hAnsi="Arial" w:eastAsia="黑体" w:cs="宋体"/>
      <w:color w:val="000000"/>
      <w:kern w:val="0"/>
      <w:sz w:val="32"/>
      <w:szCs w:val="32"/>
    </w:rPr>
  </w:style>
  <w:style w:type="paragraph" w:customStyle="1" w:styleId="725">
    <w:name w:val="Char Char Char1 Char Char1"/>
    <w:basedOn w:val="1"/>
    <w:qFormat/>
    <w:uiPriority w:val="0"/>
    <w:pPr>
      <w:spacing w:line="360" w:lineRule="auto"/>
      <w:ind w:firstLine="200" w:firstLineChars="200"/>
    </w:pPr>
    <w:rPr>
      <w:rFonts w:ascii="宋体" w:hAnsi="宋体" w:cs="宋体"/>
      <w:sz w:val="24"/>
      <w:szCs w:val="24"/>
    </w:rPr>
  </w:style>
  <w:style w:type="paragraph" w:customStyle="1" w:styleId="726">
    <w:name w:val="样式 左 首行缩进:  0.99 厘米"/>
    <w:basedOn w:val="1"/>
    <w:qFormat/>
    <w:uiPriority w:val="0"/>
    <w:pPr>
      <w:adjustRightInd w:val="0"/>
      <w:snapToGrid w:val="0"/>
      <w:spacing w:line="360" w:lineRule="auto"/>
      <w:ind w:firstLine="561"/>
      <w:jc w:val="left"/>
    </w:pPr>
    <w:rPr>
      <w:rFonts w:eastAsia="仿宋_GB2312" w:cs="宋体"/>
      <w:sz w:val="28"/>
    </w:rPr>
  </w:style>
  <w:style w:type="paragraph" w:customStyle="1" w:styleId="727">
    <w:name w:val="样式7"/>
    <w:basedOn w:val="9"/>
    <w:next w:val="1"/>
    <w:qFormat/>
    <w:uiPriority w:val="0"/>
    <w:pPr>
      <w:keepLines/>
      <w:tabs>
        <w:tab w:val="left" w:pos="969"/>
        <w:tab w:val="left" w:pos="1704"/>
      </w:tabs>
      <w:adjustRightInd w:val="0"/>
      <w:snapToGrid w:val="0"/>
      <w:spacing w:beforeLines="30" w:line="360" w:lineRule="auto"/>
      <w:ind w:left="1704" w:hanging="864"/>
      <w:jc w:val="left"/>
    </w:pPr>
    <w:rPr>
      <w:rFonts w:ascii="Arial" w:hAnsi="Arial" w:eastAsia="黑体"/>
      <w:color w:val="000000"/>
      <w:sz w:val="30"/>
      <w:szCs w:val="20"/>
    </w:rPr>
  </w:style>
  <w:style w:type="paragraph" w:customStyle="1" w:styleId="728">
    <w:name w:val="样式11"/>
    <w:basedOn w:val="43"/>
    <w:qFormat/>
    <w:uiPriority w:val="0"/>
    <w:pPr>
      <w:tabs>
        <w:tab w:val="left" w:pos="1260"/>
        <w:tab w:val="right" w:leader="dot" w:pos="9060"/>
      </w:tabs>
      <w:ind w:left="420" w:leftChars="0"/>
      <w:jc w:val="left"/>
    </w:pPr>
    <w:rPr>
      <w:rFonts w:eastAsia="黑体"/>
      <w:iCs/>
      <w:sz w:val="24"/>
    </w:rPr>
  </w:style>
  <w:style w:type="paragraph" w:customStyle="1" w:styleId="729">
    <w:name w:val="样式12"/>
    <w:basedOn w:val="34"/>
    <w:qFormat/>
    <w:uiPriority w:val="0"/>
    <w:pPr>
      <w:tabs>
        <w:tab w:val="left" w:pos="3045"/>
      </w:tabs>
      <w:autoSpaceDE w:val="0"/>
      <w:autoSpaceDN w:val="0"/>
      <w:adjustRightInd w:val="0"/>
      <w:snapToGrid w:val="0"/>
      <w:spacing w:line="360" w:lineRule="auto"/>
      <w:ind w:firstLine="200" w:firstLineChars="200"/>
      <w:jc w:val="both"/>
      <w:textAlignment w:val="bottom"/>
    </w:pPr>
    <w:rPr>
      <w:rFonts w:ascii="仿宋_GB2312" w:eastAsia="仿宋_GB2312"/>
      <w:sz w:val="28"/>
      <w:szCs w:val="28"/>
    </w:rPr>
  </w:style>
  <w:style w:type="paragraph" w:customStyle="1" w:styleId="730">
    <w:name w:val="样式16"/>
    <w:basedOn w:val="8"/>
    <w:qFormat/>
    <w:uiPriority w:val="0"/>
    <w:pPr>
      <w:widowControl/>
      <w:tabs>
        <w:tab w:val="left" w:pos="1170"/>
      </w:tabs>
      <w:spacing w:before="0" w:after="100" w:line="360" w:lineRule="auto"/>
      <w:ind w:left="1170" w:hanging="720"/>
      <w:jc w:val="left"/>
    </w:pPr>
    <w:rPr>
      <w:b w:val="0"/>
      <w:kern w:val="0"/>
      <w:szCs w:val="20"/>
    </w:rPr>
  </w:style>
  <w:style w:type="paragraph" w:customStyle="1" w:styleId="731">
    <w:name w:val="样式14"/>
    <w:basedOn w:val="8"/>
    <w:qFormat/>
    <w:uiPriority w:val="0"/>
    <w:pPr>
      <w:widowControl/>
      <w:tabs>
        <w:tab w:val="left" w:pos="432"/>
        <w:tab w:val="left" w:pos="720"/>
      </w:tabs>
      <w:spacing w:before="0" w:after="100" w:line="415" w:lineRule="auto"/>
      <w:jc w:val="left"/>
    </w:pPr>
    <w:rPr>
      <w:b w:val="0"/>
      <w:kern w:val="0"/>
      <w:szCs w:val="20"/>
    </w:rPr>
  </w:style>
  <w:style w:type="paragraph" w:customStyle="1" w:styleId="732">
    <w:name w:val="xl38"/>
    <w:basedOn w:val="1"/>
    <w:qFormat/>
    <w:uiPriority w:val="0"/>
    <w:pPr>
      <w:widowControl/>
      <w:pBdr>
        <w:bottom w:val="single" w:color="auto" w:sz="8" w:space="0"/>
        <w:right w:val="single" w:color="auto" w:sz="8" w:space="0"/>
      </w:pBdr>
      <w:spacing w:before="100" w:beforeAutospacing="1" w:after="100" w:afterAutospacing="1"/>
    </w:pPr>
    <w:rPr>
      <w:kern w:val="0"/>
      <w:sz w:val="18"/>
      <w:szCs w:val="18"/>
    </w:rPr>
  </w:style>
  <w:style w:type="paragraph" w:customStyle="1" w:styleId="733">
    <w:name w:val="xl39"/>
    <w:basedOn w:val="1"/>
    <w:qFormat/>
    <w:uiPriority w:val="0"/>
    <w:pPr>
      <w:widowControl/>
      <w:pBdr>
        <w:right w:val="single" w:color="auto" w:sz="8" w:space="0"/>
      </w:pBdr>
      <w:spacing w:before="100" w:beforeAutospacing="1" w:after="100" w:afterAutospacing="1"/>
      <w:jc w:val="left"/>
    </w:pPr>
    <w:rPr>
      <w:rFonts w:ascii="宋体" w:hAnsi="宋体" w:cs="宋体"/>
      <w:kern w:val="0"/>
      <w:sz w:val="24"/>
      <w:szCs w:val="24"/>
    </w:rPr>
  </w:style>
  <w:style w:type="paragraph" w:customStyle="1" w:styleId="734">
    <w:name w:val="xl40"/>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kern w:val="0"/>
      <w:sz w:val="24"/>
      <w:szCs w:val="24"/>
    </w:rPr>
  </w:style>
  <w:style w:type="paragraph" w:customStyle="1" w:styleId="735">
    <w:name w:val="xl41"/>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736">
    <w:name w:val="xl42"/>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b/>
      <w:bCs/>
      <w:kern w:val="0"/>
      <w:sz w:val="18"/>
      <w:szCs w:val="18"/>
    </w:rPr>
  </w:style>
  <w:style w:type="paragraph" w:customStyle="1" w:styleId="737">
    <w:name w:val="xl43"/>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FF0000"/>
      <w:kern w:val="0"/>
      <w:sz w:val="18"/>
      <w:szCs w:val="18"/>
    </w:rPr>
  </w:style>
  <w:style w:type="paragraph" w:customStyle="1" w:styleId="738">
    <w:name w:val="xl44"/>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cs="宋体"/>
      <w:kern w:val="0"/>
      <w:sz w:val="18"/>
      <w:szCs w:val="18"/>
    </w:rPr>
  </w:style>
  <w:style w:type="paragraph" w:customStyle="1" w:styleId="739">
    <w:name w:val="xl45"/>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740">
    <w:name w:val="xl46"/>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cs="宋体"/>
      <w:kern w:val="0"/>
      <w:sz w:val="18"/>
      <w:szCs w:val="18"/>
    </w:rPr>
  </w:style>
  <w:style w:type="paragraph" w:customStyle="1" w:styleId="741">
    <w:name w:val="xl47"/>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cs="宋体"/>
      <w:b/>
      <w:bCs/>
      <w:kern w:val="0"/>
      <w:sz w:val="18"/>
      <w:szCs w:val="18"/>
    </w:rPr>
  </w:style>
  <w:style w:type="paragraph" w:customStyle="1" w:styleId="742">
    <w:name w:val="xl48"/>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Cs w:val="21"/>
    </w:rPr>
  </w:style>
  <w:style w:type="paragraph" w:customStyle="1" w:styleId="743">
    <w:name w:val="xl49"/>
    <w:basedOn w:val="1"/>
    <w:qFormat/>
    <w:uiPriority w:val="0"/>
    <w:pPr>
      <w:widowControl/>
      <w:pBdr>
        <w:top w:val="single" w:color="auto" w:sz="8" w:space="0"/>
        <w:left w:val="single" w:color="auto" w:sz="8" w:space="0"/>
        <w:right w:val="single" w:color="auto" w:sz="8" w:space="0"/>
      </w:pBdr>
      <w:spacing w:before="100" w:beforeAutospacing="1" w:after="100" w:afterAutospacing="1"/>
    </w:pPr>
    <w:rPr>
      <w:kern w:val="0"/>
      <w:sz w:val="18"/>
      <w:szCs w:val="18"/>
    </w:rPr>
  </w:style>
  <w:style w:type="paragraph" w:customStyle="1" w:styleId="744">
    <w:name w:val="xl50"/>
    <w:basedOn w:val="1"/>
    <w:qFormat/>
    <w:uiPriority w:val="0"/>
    <w:pPr>
      <w:widowControl/>
      <w:pBdr>
        <w:left w:val="single" w:color="auto" w:sz="8" w:space="0"/>
        <w:right w:val="single" w:color="auto" w:sz="8" w:space="0"/>
      </w:pBdr>
      <w:spacing w:before="100" w:beforeAutospacing="1" w:after="100" w:afterAutospacing="1"/>
    </w:pPr>
    <w:rPr>
      <w:kern w:val="0"/>
      <w:sz w:val="18"/>
      <w:szCs w:val="18"/>
    </w:rPr>
  </w:style>
  <w:style w:type="paragraph" w:customStyle="1" w:styleId="745">
    <w:name w:val="xl51"/>
    <w:basedOn w:val="1"/>
    <w:qFormat/>
    <w:uiPriority w:val="0"/>
    <w:pPr>
      <w:widowControl/>
      <w:pBdr>
        <w:left w:val="single" w:color="auto" w:sz="8" w:space="0"/>
        <w:bottom w:val="single" w:color="auto" w:sz="8" w:space="0"/>
        <w:right w:val="single" w:color="auto" w:sz="8" w:space="0"/>
      </w:pBdr>
      <w:spacing w:before="100" w:beforeAutospacing="1" w:after="100" w:afterAutospacing="1"/>
    </w:pPr>
    <w:rPr>
      <w:kern w:val="0"/>
      <w:sz w:val="18"/>
      <w:szCs w:val="18"/>
    </w:rPr>
  </w:style>
  <w:style w:type="paragraph" w:customStyle="1" w:styleId="746">
    <w:name w:val="xl52"/>
    <w:basedOn w:val="1"/>
    <w:qFormat/>
    <w:uiPriority w:val="0"/>
    <w:pPr>
      <w:widowControl/>
      <w:pBdr>
        <w:top w:val="single" w:color="auto" w:sz="8" w:space="0"/>
        <w:left w:val="single" w:color="auto" w:sz="8" w:space="0"/>
        <w:right w:val="single" w:color="auto" w:sz="8" w:space="0"/>
      </w:pBdr>
      <w:spacing w:before="100" w:beforeAutospacing="1" w:after="100" w:afterAutospacing="1"/>
    </w:pPr>
    <w:rPr>
      <w:rFonts w:ascii="宋体" w:hAnsi="宋体" w:cs="宋体"/>
      <w:kern w:val="0"/>
      <w:sz w:val="18"/>
      <w:szCs w:val="18"/>
    </w:rPr>
  </w:style>
  <w:style w:type="paragraph" w:customStyle="1" w:styleId="747">
    <w:name w:val="xl53"/>
    <w:basedOn w:val="1"/>
    <w:qFormat/>
    <w:uiPriority w:val="0"/>
    <w:pPr>
      <w:widowControl/>
      <w:pBdr>
        <w:left w:val="single" w:color="auto" w:sz="8" w:space="0"/>
        <w:right w:val="single" w:color="auto" w:sz="8" w:space="0"/>
      </w:pBdr>
      <w:spacing w:before="100" w:beforeAutospacing="1" w:after="100" w:afterAutospacing="1"/>
    </w:pPr>
    <w:rPr>
      <w:rFonts w:ascii="宋体" w:hAnsi="宋体" w:cs="宋体"/>
      <w:kern w:val="0"/>
      <w:sz w:val="18"/>
      <w:szCs w:val="18"/>
    </w:rPr>
  </w:style>
  <w:style w:type="paragraph" w:customStyle="1" w:styleId="748">
    <w:name w:val="xl54"/>
    <w:basedOn w:val="1"/>
    <w:qFormat/>
    <w:uiPriority w:val="0"/>
    <w:pPr>
      <w:widowControl/>
      <w:pBdr>
        <w:left w:val="single" w:color="auto" w:sz="8" w:space="0"/>
        <w:bottom w:val="single" w:color="auto" w:sz="8" w:space="0"/>
        <w:right w:val="single" w:color="auto" w:sz="8" w:space="0"/>
      </w:pBdr>
      <w:spacing w:before="100" w:beforeAutospacing="1" w:after="100" w:afterAutospacing="1"/>
    </w:pPr>
    <w:rPr>
      <w:rFonts w:ascii="宋体" w:hAnsi="宋体" w:cs="宋体"/>
      <w:kern w:val="0"/>
      <w:sz w:val="18"/>
      <w:szCs w:val="18"/>
    </w:rPr>
  </w:style>
  <w:style w:type="paragraph" w:customStyle="1" w:styleId="749">
    <w:name w:val="xl55"/>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750">
    <w:name w:val="xl56"/>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751">
    <w:name w:val="xl5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752">
    <w:name w:val="xl58"/>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753">
    <w:name w:val="xl59"/>
    <w:basedOn w:val="1"/>
    <w:qFormat/>
    <w:uiPriority w:val="0"/>
    <w:pPr>
      <w:widowControl/>
      <w:pBdr>
        <w:left w:val="single" w:color="auto" w:sz="8" w:space="0"/>
        <w:right w:val="single" w:color="auto" w:sz="8" w:space="0"/>
      </w:pBdr>
      <w:spacing w:before="100" w:beforeAutospacing="1" w:after="100" w:afterAutospacing="1"/>
      <w:jc w:val="center"/>
    </w:pPr>
    <w:rPr>
      <w:kern w:val="0"/>
      <w:sz w:val="18"/>
      <w:szCs w:val="18"/>
    </w:rPr>
  </w:style>
  <w:style w:type="paragraph" w:customStyle="1" w:styleId="754">
    <w:name w:val="xl60"/>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kern w:val="0"/>
      <w:sz w:val="18"/>
      <w:szCs w:val="18"/>
    </w:rPr>
  </w:style>
  <w:style w:type="paragraph" w:customStyle="1" w:styleId="755">
    <w:name w:val="xl61"/>
    <w:basedOn w:val="1"/>
    <w:qFormat/>
    <w:uiPriority w:val="0"/>
    <w:pPr>
      <w:widowControl/>
      <w:pBdr>
        <w:top w:val="single" w:color="auto" w:sz="8" w:space="0"/>
        <w:left w:val="single" w:color="auto" w:sz="8" w:space="0"/>
        <w:bottom w:val="single" w:color="auto" w:sz="8" w:space="0"/>
      </w:pBdr>
      <w:spacing w:before="100" w:beforeAutospacing="1" w:after="100" w:afterAutospacing="1"/>
    </w:pPr>
    <w:rPr>
      <w:rFonts w:ascii="宋体" w:hAnsi="宋体" w:cs="宋体"/>
      <w:b/>
      <w:bCs/>
      <w:kern w:val="0"/>
      <w:sz w:val="18"/>
      <w:szCs w:val="18"/>
    </w:rPr>
  </w:style>
  <w:style w:type="paragraph" w:customStyle="1" w:styleId="756">
    <w:name w:val="xl62"/>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top"/>
    </w:pPr>
    <w:rPr>
      <w:rFonts w:ascii="宋体" w:hAnsi="宋体" w:cs="宋体"/>
      <w:kern w:val="0"/>
      <w:sz w:val="18"/>
      <w:szCs w:val="18"/>
    </w:rPr>
  </w:style>
  <w:style w:type="paragraph" w:customStyle="1" w:styleId="757">
    <w:name w:val="Char3 Char Char"/>
    <w:basedOn w:val="27"/>
    <w:qFormat/>
    <w:uiPriority w:val="0"/>
    <w:pPr>
      <w:adjustRightInd w:val="0"/>
      <w:snapToGrid w:val="0"/>
      <w:spacing w:line="360" w:lineRule="auto"/>
    </w:pPr>
    <w:rPr>
      <w:rFonts w:ascii="Tahoma" w:hAnsi="Tahoma" w:eastAsia="仿宋_GB2312"/>
      <w:sz w:val="28"/>
      <w:szCs w:val="24"/>
    </w:rPr>
  </w:style>
  <w:style w:type="paragraph" w:customStyle="1" w:styleId="758">
    <w:name w:val="纯文本1"/>
    <w:basedOn w:val="1"/>
    <w:qFormat/>
    <w:uiPriority w:val="0"/>
    <w:pPr>
      <w:adjustRightInd w:val="0"/>
      <w:jc w:val="left"/>
      <w:textAlignment w:val="baseline"/>
    </w:pPr>
    <w:rPr>
      <w:rFonts w:ascii="宋体"/>
      <w:kern w:val="0"/>
      <w:sz w:val="24"/>
    </w:rPr>
  </w:style>
  <w:style w:type="paragraph" w:customStyle="1" w:styleId="759">
    <w:name w:val="正文2"/>
    <w:link w:val="1052"/>
    <w:qFormat/>
    <w:uiPriority w:val="0"/>
    <w:pPr>
      <w:widowControl w:val="0"/>
      <w:autoSpaceDE w:val="0"/>
      <w:autoSpaceDN w:val="0"/>
      <w:adjustRightInd w:val="0"/>
      <w:spacing w:line="0" w:lineRule="atLeast"/>
      <w:textAlignment w:val="bottom"/>
    </w:pPr>
    <w:rPr>
      <w:rFonts w:ascii="宋体" w:hAnsi="Times New Roman" w:eastAsia="宋体" w:cs="Times New Roman"/>
      <w:spacing w:val="10"/>
      <w:sz w:val="21"/>
      <w:lang w:val="en-US" w:eastAsia="zh-CN" w:bidi="ar-SA"/>
    </w:rPr>
  </w:style>
  <w:style w:type="paragraph" w:customStyle="1" w:styleId="760">
    <w:name w:val="Char Char Char1 Char Char1 Char Char Char"/>
    <w:basedOn w:val="1"/>
    <w:qFormat/>
    <w:uiPriority w:val="0"/>
    <w:pPr>
      <w:spacing w:line="360" w:lineRule="auto"/>
      <w:ind w:firstLine="200" w:firstLineChars="200"/>
    </w:pPr>
    <w:rPr>
      <w:rFonts w:ascii="宋体" w:hAnsi="宋体" w:cs="宋体"/>
      <w:sz w:val="24"/>
      <w:szCs w:val="24"/>
    </w:rPr>
  </w:style>
  <w:style w:type="paragraph" w:customStyle="1" w:styleId="761">
    <w:name w:val="Char Char5"/>
    <w:basedOn w:val="1"/>
    <w:qFormat/>
    <w:uiPriority w:val="0"/>
    <w:pPr>
      <w:spacing w:line="360" w:lineRule="auto"/>
      <w:ind w:firstLine="200" w:firstLineChars="200"/>
    </w:pPr>
    <w:rPr>
      <w:rFonts w:ascii="宋体" w:hAnsi="宋体" w:cs="宋体"/>
      <w:sz w:val="24"/>
      <w:szCs w:val="24"/>
    </w:rPr>
  </w:style>
  <w:style w:type="paragraph" w:customStyle="1" w:styleId="762">
    <w:name w:val="Char1 Char Char"/>
    <w:basedOn w:val="1"/>
    <w:qFormat/>
    <w:uiPriority w:val="0"/>
    <w:pPr>
      <w:spacing w:line="360" w:lineRule="auto"/>
      <w:ind w:firstLine="200" w:firstLineChars="200"/>
    </w:pPr>
    <w:rPr>
      <w:rFonts w:ascii="宋体" w:hAnsi="宋体" w:cs="宋体"/>
      <w:sz w:val="24"/>
      <w:szCs w:val="24"/>
    </w:rPr>
  </w:style>
  <w:style w:type="paragraph" w:customStyle="1" w:styleId="763">
    <w:name w:val="Char3 Char Char Char"/>
    <w:basedOn w:val="27"/>
    <w:qFormat/>
    <w:uiPriority w:val="0"/>
    <w:pPr>
      <w:adjustRightInd w:val="0"/>
      <w:snapToGrid w:val="0"/>
      <w:spacing w:line="360" w:lineRule="auto"/>
    </w:pPr>
    <w:rPr>
      <w:rFonts w:ascii="Tahoma" w:hAnsi="Tahoma" w:eastAsia="仿宋_GB2312"/>
      <w:sz w:val="28"/>
      <w:szCs w:val="24"/>
    </w:rPr>
  </w:style>
  <w:style w:type="paragraph" w:customStyle="1" w:styleId="764">
    <w:name w:val="Char Char Char Char Char Char Char Char Char"/>
    <w:basedOn w:val="27"/>
    <w:qFormat/>
    <w:uiPriority w:val="0"/>
    <w:pPr>
      <w:adjustRightInd w:val="0"/>
      <w:snapToGrid w:val="0"/>
      <w:spacing w:line="360" w:lineRule="auto"/>
    </w:pPr>
    <w:rPr>
      <w:rFonts w:ascii="Tahoma" w:hAnsi="Tahoma" w:eastAsia="仿宋_GB2312"/>
      <w:sz w:val="28"/>
      <w:szCs w:val="24"/>
    </w:rPr>
  </w:style>
  <w:style w:type="paragraph" w:customStyle="1" w:styleId="765">
    <w:name w:val="Char Char Char Char Char Char Char Char"/>
    <w:basedOn w:val="27"/>
    <w:qFormat/>
    <w:uiPriority w:val="0"/>
    <w:pPr>
      <w:adjustRightInd w:val="0"/>
      <w:snapToGrid w:val="0"/>
      <w:spacing w:line="360" w:lineRule="auto"/>
    </w:pPr>
    <w:rPr>
      <w:rFonts w:ascii="Tahoma" w:hAnsi="Tahoma" w:eastAsia="仿宋_GB2312"/>
      <w:sz w:val="28"/>
      <w:szCs w:val="24"/>
    </w:rPr>
  </w:style>
  <w:style w:type="paragraph" w:customStyle="1" w:styleId="766">
    <w:name w:val="Char Char Char1 Char Char Char Char"/>
    <w:basedOn w:val="1"/>
    <w:qFormat/>
    <w:uiPriority w:val="0"/>
    <w:pPr>
      <w:widowControl/>
      <w:spacing w:line="360" w:lineRule="auto"/>
      <w:ind w:firstLine="200" w:firstLineChars="200"/>
      <w:jc w:val="left"/>
    </w:pPr>
    <w:rPr>
      <w:rFonts w:ascii="宋体" w:hAnsi="宋体"/>
      <w:kern w:val="0"/>
      <w:sz w:val="24"/>
      <w:szCs w:val="24"/>
    </w:rPr>
  </w:style>
  <w:style w:type="paragraph" w:customStyle="1" w:styleId="767">
    <w:name w:val="注释"/>
    <w:basedOn w:val="1"/>
    <w:qFormat/>
    <w:uiPriority w:val="0"/>
    <w:pPr>
      <w:adjustRightInd w:val="0"/>
      <w:snapToGrid w:val="0"/>
      <w:ind w:firstLine="200" w:firstLineChars="200"/>
    </w:pPr>
    <w:rPr>
      <w:kern w:val="0"/>
      <w:szCs w:val="28"/>
    </w:rPr>
  </w:style>
  <w:style w:type="paragraph" w:customStyle="1" w:styleId="768">
    <w:name w:val="标题 4标题1.1.1.1"/>
    <w:basedOn w:val="1"/>
    <w:qFormat/>
    <w:uiPriority w:val="0"/>
    <w:pPr>
      <w:keepNext/>
      <w:keepLines/>
      <w:tabs>
        <w:tab w:val="left" w:pos="969"/>
        <w:tab w:val="left" w:pos="1080"/>
      </w:tabs>
      <w:adjustRightInd w:val="0"/>
      <w:snapToGrid w:val="0"/>
      <w:spacing w:beforeLines="20" w:line="360" w:lineRule="auto"/>
      <w:ind w:left="969" w:hanging="1224"/>
      <w:jc w:val="left"/>
      <w:outlineLvl w:val="3"/>
    </w:pPr>
    <w:rPr>
      <w:rFonts w:ascii="Arial" w:hAnsi="Arial" w:eastAsia="黑体" w:cs="宋体"/>
      <w:sz w:val="28"/>
    </w:rPr>
  </w:style>
  <w:style w:type="paragraph" w:customStyle="1" w:styleId="769">
    <w:name w:val="样式 标题 3条标题1.1.13h33rd levelH3l3CT段物探标题3 Char Char Char ..."/>
    <w:basedOn w:val="8"/>
    <w:link w:val="1081"/>
    <w:qFormat/>
    <w:uiPriority w:val="0"/>
    <w:pPr>
      <w:widowControl/>
      <w:tabs>
        <w:tab w:val="left" w:pos="432"/>
        <w:tab w:val="left" w:pos="720"/>
      </w:tabs>
      <w:adjustRightInd w:val="0"/>
      <w:snapToGrid w:val="0"/>
      <w:spacing w:before="0" w:after="0" w:line="360" w:lineRule="auto"/>
      <w:ind w:left="720" w:hanging="720"/>
      <w:jc w:val="left"/>
    </w:pPr>
    <w:rPr>
      <w:rFonts w:eastAsia="楷体_GB2312" w:cs="宋体"/>
      <w:kern w:val="0"/>
      <w:szCs w:val="20"/>
    </w:rPr>
  </w:style>
  <w:style w:type="paragraph" w:customStyle="1" w:styleId="770">
    <w:name w:val="题注jb"/>
    <w:basedOn w:val="1"/>
    <w:link w:val="1031"/>
    <w:qFormat/>
    <w:uiPriority w:val="0"/>
    <w:pPr>
      <w:adjustRightInd w:val="0"/>
      <w:snapToGrid w:val="0"/>
      <w:spacing w:line="320" w:lineRule="exact"/>
    </w:pPr>
    <w:rPr>
      <w:rFonts w:ascii="黑体" w:hAnsi="Arial" w:eastAsia="黑体"/>
      <w:snapToGrid w:val="0"/>
      <w:kern w:val="0"/>
      <w:szCs w:val="21"/>
    </w:rPr>
  </w:style>
  <w:style w:type="paragraph" w:customStyle="1" w:styleId="771">
    <w:name w:val="样式 表格文字 + 首行缩进:  2 字符"/>
    <w:basedOn w:val="1"/>
    <w:qFormat/>
    <w:uiPriority w:val="0"/>
    <w:pPr>
      <w:tabs>
        <w:tab w:val="left" w:pos="3720"/>
      </w:tabs>
      <w:autoSpaceDE w:val="0"/>
      <w:autoSpaceDN w:val="0"/>
      <w:adjustRightInd w:val="0"/>
      <w:snapToGrid w:val="0"/>
      <w:spacing w:line="400" w:lineRule="exact"/>
      <w:ind w:firstLine="71" w:firstLineChars="34"/>
      <w:jc w:val="center"/>
      <w:textAlignment w:val="bottom"/>
    </w:pPr>
    <w:rPr>
      <w:rFonts w:ascii="宋体" w:hAnsi="宋体" w:cs="宋体"/>
      <w:kern w:val="0"/>
    </w:rPr>
  </w:style>
  <w:style w:type="paragraph" w:customStyle="1" w:styleId="772">
    <w:name w:val="样式 标题 4款标题1.1.1.1目款标题L4条标题1.1.1.1标题1.1.1.1H4BSH-4W4 + 段...1"/>
    <w:basedOn w:val="9"/>
    <w:qFormat/>
    <w:uiPriority w:val="0"/>
    <w:pPr>
      <w:keepLines/>
      <w:tabs>
        <w:tab w:val="left" w:pos="432"/>
      </w:tabs>
      <w:adjustRightInd w:val="0"/>
      <w:snapToGrid w:val="0"/>
      <w:spacing w:beforeLines="30" w:line="360" w:lineRule="auto"/>
      <w:jc w:val="left"/>
    </w:pPr>
    <w:rPr>
      <w:rFonts w:ascii="Arial" w:hAnsi="Arial" w:eastAsia="黑体" w:cs="宋体"/>
      <w:b w:val="0"/>
      <w:color w:val="000000"/>
      <w:sz w:val="30"/>
      <w:szCs w:val="20"/>
    </w:rPr>
  </w:style>
  <w:style w:type="paragraph" w:customStyle="1" w:styleId="773">
    <w:name w:val="Char7"/>
    <w:basedOn w:val="1"/>
    <w:qFormat/>
    <w:uiPriority w:val="0"/>
    <w:rPr>
      <w:szCs w:val="24"/>
    </w:rPr>
  </w:style>
  <w:style w:type="paragraph" w:customStyle="1" w:styleId="774">
    <w:name w:val="Char Char6 Char Char Char Char Char Char Char Char Char Char2 Char Char Char2 Char Char"/>
    <w:basedOn w:val="1"/>
    <w:qFormat/>
    <w:uiPriority w:val="0"/>
    <w:pPr>
      <w:spacing w:line="360" w:lineRule="auto"/>
      <w:ind w:firstLine="200" w:firstLineChars="200"/>
    </w:pPr>
    <w:rPr>
      <w:rFonts w:ascii="宋体" w:hAnsi="宋体" w:cs="宋体"/>
      <w:sz w:val="24"/>
      <w:szCs w:val="24"/>
    </w:rPr>
  </w:style>
  <w:style w:type="paragraph" w:customStyle="1" w:styleId="775">
    <w:name w:val="样式 标题 1章标题 1-*+h11st levelSection Headl1b1预评价章标题标题 1 预..."/>
    <w:basedOn w:val="5"/>
    <w:qFormat/>
    <w:uiPriority w:val="0"/>
    <w:pPr>
      <w:keepLines/>
      <w:pageBreakBefore/>
      <w:widowControl/>
      <w:tabs>
        <w:tab w:val="left" w:pos="432"/>
      </w:tabs>
      <w:spacing w:line="520" w:lineRule="exact"/>
      <w:ind w:left="432"/>
    </w:pPr>
    <w:rPr>
      <w:rFonts w:cs="宋体"/>
      <w:b/>
      <w:bCs/>
      <w:kern w:val="44"/>
      <w:sz w:val="32"/>
      <w:szCs w:val="32"/>
    </w:rPr>
  </w:style>
  <w:style w:type="paragraph" w:customStyle="1" w:styleId="776">
    <w:name w:val="正文首行缩进:  2 字符"/>
    <w:basedOn w:val="1"/>
    <w:qFormat/>
    <w:uiPriority w:val="0"/>
    <w:pPr>
      <w:spacing w:line="360" w:lineRule="auto"/>
      <w:ind w:firstLine="480" w:firstLineChars="200"/>
    </w:pPr>
    <w:rPr>
      <w:sz w:val="24"/>
    </w:rPr>
  </w:style>
  <w:style w:type="paragraph" w:customStyle="1" w:styleId="777">
    <w:name w:val="样式 标题 4款标题1.1.1.1目款标题L4条标题1.1.1.1标题1.1.1.1H4BSH-4W4 + 段...3"/>
    <w:basedOn w:val="9"/>
    <w:qFormat/>
    <w:uiPriority w:val="0"/>
    <w:pPr>
      <w:keepLines/>
      <w:tabs>
        <w:tab w:val="left" w:pos="6744"/>
      </w:tabs>
      <w:adjustRightInd w:val="0"/>
      <w:snapToGrid w:val="0"/>
      <w:spacing w:beforeLines="30" w:line="360" w:lineRule="auto"/>
      <w:ind w:left="6744" w:hanging="864"/>
      <w:jc w:val="left"/>
    </w:pPr>
    <w:rPr>
      <w:rFonts w:ascii="Arial" w:hAnsi="Arial" w:eastAsia="黑体" w:cs="宋体"/>
      <w:b w:val="0"/>
      <w:color w:val="000000"/>
      <w:sz w:val="30"/>
      <w:szCs w:val="20"/>
    </w:rPr>
  </w:style>
  <w:style w:type="paragraph" w:customStyle="1" w:styleId="778">
    <w:name w:val="正文无缩进四号+ 单倍行距"/>
    <w:basedOn w:val="693"/>
    <w:qFormat/>
    <w:uiPriority w:val="0"/>
    <w:pPr>
      <w:spacing w:line="240" w:lineRule="auto"/>
    </w:pPr>
    <w:rPr>
      <w:rFonts w:cs="宋体"/>
      <w:szCs w:val="20"/>
    </w:rPr>
  </w:style>
  <w:style w:type="paragraph" w:customStyle="1" w:styleId="779">
    <w:name w:val="样式 样式 正文 + 仿宋_GB2312 自动设置"/>
    <w:basedOn w:val="382"/>
    <w:link w:val="1034"/>
    <w:qFormat/>
    <w:uiPriority w:val="0"/>
    <w:pPr>
      <w:ind w:firstLine="0" w:firstLineChars="0"/>
      <w:jc w:val="center"/>
    </w:pPr>
    <w:rPr>
      <w:rFonts w:ascii="仿宋_GB2312" w:hAnsi="仿宋_GB2312"/>
      <w:color w:val="auto"/>
      <w:spacing w:val="-4"/>
      <w:kern w:val="2"/>
    </w:rPr>
  </w:style>
  <w:style w:type="paragraph" w:customStyle="1" w:styleId="780">
    <w:name w:val="样式 样式 正文文本 + 首行缩进:  2 字符 + 自动设置"/>
    <w:basedOn w:val="396"/>
    <w:link w:val="1037"/>
    <w:qFormat/>
    <w:uiPriority w:val="0"/>
    <w:pPr>
      <w:spacing w:line="360" w:lineRule="auto"/>
      <w:ind w:firstLine="0" w:firstLineChars="0"/>
      <w:jc w:val="center"/>
    </w:pPr>
    <w:rPr>
      <w:rFonts w:ascii="Times New Roman" w:hAnsi="Times New Roman" w:eastAsia="宋体"/>
      <w:color w:val="auto"/>
      <w:kern w:val="0"/>
      <w:sz w:val="24"/>
    </w:rPr>
  </w:style>
  <w:style w:type="paragraph" w:customStyle="1" w:styleId="781">
    <w:name w:val="样式 样式 正文 + 自动设置"/>
    <w:basedOn w:val="382"/>
    <w:link w:val="1038"/>
    <w:qFormat/>
    <w:uiPriority w:val="0"/>
    <w:pPr>
      <w:ind w:firstLine="0" w:firstLineChars="0"/>
      <w:jc w:val="center"/>
    </w:pPr>
    <w:rPr>
      <w:rFonts w:ascii="宋体" w:hAnsi="宋体"/>
      <w:color w:val="auto"/>
      <w:spacing w:val="-4"/>
    </w:rPr>
  </w:style>
  <w:style w:type="paragraph" w:customStyle="1" w:styleId="782">
    <w:name w:val="样式 样式 正文 + 仿宋_GB2312 自动设置 首行缩进:  2 字符1"/>
    <w:basedOn w:val="382"/>
    <w:qFormat/>
    <w:uiPriority w:val="0"/>
    <w:pPr>
      <w:ind w:firstLine="560" w:firstLineChars="0"/>
      <w:jc w:val="center"/>
    </w:pPr>
    <w:rPr>
      <w:rFonts w:ascii="仿宋_GB2312" w:hAnsi="仿宋_GB2312"/>
      <w:color w:val="auto"/>
      <w:spacing w:val="-4"/>
      <w:kern w:val="2"/>
      <w:szCs w:val="20"/>
    </w:rPr>
  </w:style>
  <w:style w:type="paragraph" w:customStyle="1" w:styleId="783">
    <w:name w:val="样式 样式 首行缩进:  0.99 厘米 + (符号) 仿宋_GB2312"/>
    <w:basedOn w:val="667"/>
    <w:qFormat/>
    <w:uiPriority w:val="0"/>
  </w:style>
  <w:style w:type="paragraph" w:customStyle="1" w:styleId="784">
    <w:name w:val="样式 样式 正文 + 仿宋_GB2312 首行缩进:  2 字符"/>
    <w:basedOn w:val="382"/>
    <w:qFormat/>
    <w:uiPriority w:val="0"/>
    <w:pPr>
      <w:ind w:firstLine="560" w:firstLineChars="0"/>
      <w:jc w:val="center"/>
    </w:pPr>
    <w:rPr>
      <w:rFonts w:ascii="仿宋_GB2312" w:hAnsi="宋体"/>
      <w:spacing w:val="-4"/>
      <w:szCs w:val="20"/>
    </w:rPr>
  </w:style>
  <w:style w:type="paragraph" w:customStyle="1" w:styleId="785">
    <w:name w:val="样式 样式 正文 + 首行缩进:  2 字符"/>
    <w:basedOn w:val="382"/>
    <w:qFormat/>
    <w:uiPriority w:val="0"/>
    <w:pPr>
      <w:ind w:firstLine="480" w:firstLineChars="0"/>
      <w:jc w:val="center"/>
    </w:pPr>
    <w:rPr>
      <w:rFonts w:ascii="宋体" w:hAnsi="宋体" w:cs="Arial"/>
      <w:spacing w:val="-4"/>
      <w:szCs w:val="20"/>
    </w:rPr>
  </w:style>
  <w:style w:type="paragraph" w:customStyle="1" w:styleId="786">
    <w:name w:val="样式 样式 正文文本缩进 + 仿宋_GB2312 四号 段后: 0 磅 行距: 1.5 倍行距 + (符号) Arial 首行..."/>
    <w:basedOn w:val="666"/>
    <w:qFormat/>
    <w:uiPriority w:val="0"/>
    <w:pPr>
      <w:ind w:firstLine="560"/>
    </w:pPr>
    <w:rPr>
      <w:rFonts w:hAnsi="Arial"/>
    </w:rPr>
  </w:style>
  <w:style w:type="paragraph" w:customStyle="1" w:styleId="787">
    <w:name w:val="样式 样式 正文 + 仿宋_GB2312 (符号) Arial 自动设置 首行缩进:  2 字符"/>
    <w:basedOn w:val="382"/>
    <w:qFormat/>
    <w:uiPriority w:val="0"/>
    <w:pPr>
      <w:ind w:firstLine="560" w:firstLineChars="0"/>
      <w:jc w:val="center"/>
    </w:pPr>
    <w:rPr>
      <w:rFonts w:ascii="仿宋_GB2312" w:hAnsi="Arial"/>
      <w:color w:val="auto"/>
      <w:spacing w:val="-4"/>
      <w:szCs w:val="20"/>
    </w:rPr>
  </w:style>
  <w:style w:type="paragraph" w:customStyle="1" w:styleId="788">
    <w:name w:val="样式 样式 正文 + 仿宋_GB2312 (符号) 宋体 自动设置 首行缩进:  2 字符"/>
    <w:basedOn w:val="382"/>
    <w:qFormat/>
    <w:uiPriority w:val="0"/>
    <w:pPr>
      <w:ind w:firstLine="560" w:firstLineChars="0"/>
      <w:jc w:val="center"/>
    </w:pPr>
    <w:rPr>
      <w:rFonts w:ascii="仿宋_GB2312" w:hAnsi="宋体"/>
      <w:color w:val="auto"/>
      <w:spacing w:val="-4"/>
      <w:szCs w:val="20"/>
    </w:rPr>
  </w:style>
  <w:style w:type="paragraph" w:customStyle="1" w:styleId="789">
    <w:name w:val="样式 样式 样式 样式 正文缩进s4 + 首行缩进:  2 字符 + 首行缩进:  2 字符 + + (西文) 仿宋_GB231..."/>
    <w:basedOn w:val="410"/>
    <w:link w:val="1043"/>
    <w:qFormat/>
    <w:uiPriority w:val="0"/>
    <w:pPr>
      <w:spacing w:line="360" w:lineRule="auto"/>
      <w:ind w:firstLine="480"/>
    </w:pPr>
    <w:rPr>
      <w:rFonts w:ascii="仿宋_GB2312" w:hAnsi="仿宋_GB2312"/>
      <w:sz w:val="24"/>
      <w:szCs w:val="28"/>
    </w:rPr>
  </w:style>
  <w:style w:type="paragraph" w:customStyle="1" w:styleId="790">
    <w:name w:val="样式 (西文) 仿宋_GB2312 (中文) 仿宋_GB2312 四号 行距: 1.5 倍行距 首行缩进:  2 字符"/>
    <w:basedOn w:val="1"/>
    <w:qFormat/>
    <w:uiPriority w:val="0"/>
    <w:pPr>
      <w:spacing w:line="360" w:lineRule="auto"/>
      <w:ind w:firstLine="560" w:firstLineChars="200"/>
    </w:pPr>
    <w:rPr>
      <w:rFonts w:ascii="仿宋_GB2312" w:cs="宋体"/>
      <w:sz w:val="24"/>
    </w:rPr>
  </w:style>
  <w:style w:type="paragraph" w:customStyle="1" w:styleId="791">
    <w:name w:val="样式 样式 正文 + 自动设置 首行缩进:  2 字符"/>
    <w:basedOn w:val="382"/>
    <w:qFormat/>
    <w:uiPriority w:val="0"/>
    <w:pPr>
      <w:ind w:firstLine="560" w:firstLineChars="0"/>
      <w:jc w:val="center"/>
    </w:pPr>
    <w:rPr>
      <w:rFonts w:ascii="宋体" w:hAnsi="宋体"/>
      <w:color w:val="auto"/>
      <w:spacing w:val="-4"/>
      <w:szCs w:val="20"/>
    </w:rPr>
  </w:style>
  <w:style w:type="paragraph" w:customStyle="1" w:styleId="792">
    <w:name w:val="样式 样式 正文文本 + 首行缩进:  2 字符 + (西文) 仿宋_GB2312 自动设置"/>
    <w:basedOn w:val="396"/>
    <w:link w:val="1044"/>
    <w:qFormat/>
    <w:uiPriority w:val="0"/>
    <w:pPr>
      <w:spacing w:line="360" w:lineRule="auto"/>
      <w:ind w:firstLine="0" w:firstLineChars="0"/>
    </w:pPr>
    <w:rPr>
      <w:rFonts w:hAnsi="仿宋_GB2312" w:eastAsia="宋体"/>
      <w:color w:val="auto"/>
      <w:kern w:val="0"/>
      <w:sz w:val="24"/>
    </w:rPr>
  </w:style>
  <w:style w:type="paragraph" w:customStyle="1" w:styleId="793">
    <w:name w:val="样式 样式 正文 + 仿宋_GB2312 自动设置2"/>
    <w:basedOn w:val="382"/>
    <w:link w:val="1045"/>
    <w:qFormat/>
    <w:uiPriority w:val="0"/>
    <w:pPr>
      <w:ind w:firstLine="0" w:firstLineChars="0"/>
      <w:jc w:val="center"/>
    </w:pPr>
    <w:rPr>
      <w:rFonts w:ascii="仿宋_GB2312" w:hAnsi="仿宋_GB2312"/>
      <w:color w:val="auto"/>
      <w:spacing w:val="-4"/>
    </w:rPr>
  </w:style>
  <w:style w:type="paragraph" w:customStyle="1" w:styleId="794">
    <w:name w:val="样式 样式 首行缩进:  1.92 字符 + 仿宋_GB2312 首行缩进:  2 字符"/>
    <w:basedOn w:val="644"/>
    <w:qFormat/>
    <w:uiPriority w:val="0"/>
    <w:pPr>
      <w:ind w:firstLine="480"/>
    </w:pPr>
    <w:rPr>
      <w:rFonts w:ascii="宋体" w:hAnsi="宋体" w:eastAsia="宋体"/>
      <w:sz w:val="24"/>
    </w:rPr>
  </w:style>
  <w:style w:type="paragraph" w:customStyle="1" w:styleId="795">
    <w:name w:val="样式 样式 正文 + 仿宋_GB2312 自动设置3"/>
    <w:basedOn w:val="382"/>
    <w:link w:val="1046"/>
    <w:qFormat/>
    <w:uiPriority w:val="0"/>
    <w:pPr>
      <w:ind w:firstLine="0" w:firstLineChars="0"/>
      <w:jc w:val="center"/>
    </w:pPr>
    <w:rPr>
      <w:rFonts w:ascii="仿宋_GB2312" w:hAnsi="仿宋_GB2312"/>
      <w:color w:val="auto"/>
      <w:spacing w:val="-4"/>
      <w:kern w:val="2"/>
    </w:rPr>
  </w:style>
  <w:style w:type="paragraph" w:customStyle="1" w:styleId="796">
    <w:name w:val="样式 正文缩进s4标题4表正文正文非缩进图标题段1Body Text(ch)缩进ALT+Z特点四号正文不...4"/>
    <w:basedOn w:val="7"/>
    <w:link w:val="1047"/>
    <w:qFormat/>
    <w:uiPriority w:val="0"/>
    <w:pPr>
      <w:adjustRightInd w:val="0"/>
      <w:snapToGrid w:val="0"/>
      <w:spacing w:line="360" w:lineRule="auto"/>
      <w:ind w:firstLine="0"/>
      <w:jc w:val="center"/>
    </w:pPr>
    <w:rPr>
      <w:rFonts w:ascii="仿宋_GB2312" w:hAnsi="仿宋_GB2312"/>
      <w:snapToGrid w:val="0"/>
      <w:spacing w:val="-4"/>
      <w:sz w:val="24"/>
      <w:szCs w:val="32"/>
    </w:rPr>
  </w:style>
  <w:style w:type="paragraph" w:customStyle="1" w:styleId="797">
    <w:name w:val="样式 正文缩进s4标题4表正文正文非缩进图标题段1Body Text(ch)缩进ALT+Z特点四号正文不...5"/>
    <w:basedOn w:val="7"/>
    <w:qFormat/>
    <w:uiPriority w:val="0"/>
    <w:pPr>
      <w:adjustRightInd w:val="0"/>
      <w:snapToGrid w:val="0"/>
      <w:spacing w:line="360" w:lineRule="auto"/>
      <w:ind w:firstLine="0"/>
      <w:jc w:val="center"/>
    </w:pPr>
    <w:rPr>
      <w:rFonts w:ascii="仿宋_GB2312" w:hAnsi="宋体" w:cs="宋体"/>
      <w:snapToGrid w:val="0"/>
      <w:spacing w:val="-4"/>
      <w:kern w:val="16"/>
      <w:sz w:val="24"/>
    </w:rPr>
  </w:style>
  <w:style w:type="paragraph" w:customStyle="1" w:styleId="798">
    <w:name w:val="样式 正文缩进s4标题4表正文正文非缩进图标题段1Body Text(ch)缩进ALT+Z特点四号正文不...6"/>
    <w:basedOn w:val="7"/>
    <w:qFormat/>
    <w:uiPriority w:val="0"/>
    <w:pPr>
      <w:adjustRightInd w:val="0"/>
      <w:snapToGrid w:val="0"/>
      <w:spacing w:line="360" w:lineRule="auto"/>
      <w:ind w:firstLine="0"/>
      <w:jc w:val="center"/>
    </w:pPr>
    <w:rPr>
      <w:rFonts w:ascii="仿宋_GB2312" w:hAnsi="宋体" w:cs="宋体"/>
      <w:snapToGrid w:val="0"/>
      <w:spacing w:val="-4"/>
      <w:kern w:val="16"/>
      <w:sz w:val="24"/>
    </w:rPr>
  </w:style>
  <w:style w:type="paragraph" w:customStyle="1" w:styleId="799">
    <w:name w:val="样式 正文缩进s4标题4表正文正文非缩进图标题段1Body Text(ch)缩进ALT+Z特点四号正文不...7"/>
    <w:basedOn w:val="7"/>
    <w:qFormat/>
    <w:uiPriority w:val="0"/>
    <w:pPr>
      <w:adjustRightInd w:val="0"/>
      <w:snapToGrid w:val="0"/>
      <w:spacing w:line="360" w:lineRule="auto"/>
      <w:ind w:firstLine="0"/>
      <w:jc w:val="center"/>
    </w:pPr>
    <w:rPr>
      <w:rFonts w:ascii="仿宋_GB2312" w:hAnsi="宋体" w:cs="宋体"/>
      <w:snapToGrid w:val="0"/>
      <w:spacing w:val="-4"/>
      <w:kern w:val="16"/>
      <w:sz w:val="24"/>
    </w:rPr>
  </w:style>
  <w:style w:type="paragraph" w:customStyle="1" w:styleId="800">
    <w:name w:val="样式 正文缩进s4标题4表正文正文非缩进图标题段1Body Text(ch)缩进ALT+Z特点四号正文不...8"/>
    <w:basedOn w:val="7"/>
    <w:qFormat/>
    <w:uiPriority w:val="0"/>
    <w:pPr>
      <w:adjustRightInd w:val="0"/>
      <w:snapToGrid w:val="0"/>
      <w:spacing w:line="360" w:lineRule="auto"/>
      <w:ind w:firstLine="0"/>
      <w:jc w:val="center"/>
    </w:pPr>
    <w:rPr>
      <w:rFonts w:ascii="仿宋_GB2312" w:hAnsi="宋体" w:cs="宋体"/>
      <w:snapToGrid w:val="0"/>
      <w:spacing w:val="-4"/>
      <w:kern w:val="16"/>
      <w:sz w:val="24"/>
    </w:rPr>
  </w:style>
  <w:style w:type="paragraph" w:customStyle="1" w:styleId="801">
    <w:name w:val="样式 样式 样式 首行缩进:  2 字符 + 首行缩进:  2 字符 + 仿宋_GB2312"/>
    <w:basedOn w:val="349"/>
    <w:qFormat/>
    <w:uiPriority w:val="0"/>
    <w:pPr>
      <w:spacing w:line="360" w:lineRule="auto"/>
    </w:pPr>
    <w:rPr>
      <w:rFonts w:ascii="仿宋_GB2312" w:hAnsi="仿宋_GB2312" w:eastAsia="宋体"/>
      <w:sz w:val="24"/>
    </w:rPr>
  </w:style>
  <w:style w:type="paragraph" w:customStyle="1" w:styleId="802">
    <w:name w:val="样式 样式 样式 首行缩进:  2 字符 + 首行缩进:  2 字符 + 仿宋_GB23121"/>
    <w:basedOn w:val="349"/>
    <w:qFormat/>
    <w:uiPriority w:val="0"/>
    <w:pPr>
      <w:spacing w:line="360" w:lineRule="auto"/>
    </w:pPr>
    <w:rPr>
      <w:rFonts w:ascii="仿宋_GB2312" w:hAnsi="仿宋_GB2312" w:eastAsia="宋体"/>
      <w:sz w:val="24"/>
    </w:rPr>
  </w:style>
  <w:style w:type="paragraph" w:customStyle="1" w:styleId="803">
    <w:name w:val="样式 样式 样式 首行缩进:  2 字符 + 首行缩进:  2 字符 + 仿宋_GB23122"/>
    <w:basedOn w:val="349"/>
    <w:qFormat/>
    <w:uiPriority w:val="0"/>
    <w:pPr>
      <w:spacing w:line="360" w:lineRule="auto"/>
    </w:pPr>
    <w:rPr>
      <w:rFonts w:ascii="仿宋_GB2312" w:hAnsi="仿宋_GB2312" w:eastAsia="宋体"/>
      <w:sz w:val="24"/>
    </w:rPr>
  </w:style>
  <w:style w:type="paragraph" w:customStyle="1" w:styleId="804">
    <w:name w:val="样式 样式 样式 首行缩进:  2 字符 + 首行缩进:  2 字符 + 仿宋_GB23123"/>
    <w:basedOn w:val="349"/>
    <w:qFormat/>
    <w:uiPriority w:val="0"/>
    <w:pPr>
      <w:spacing w:line="360" w:lineRule="auto"/>
    </w:pPr>
    <w:rPr>
      <w:rFonts w:ascii="仿宋_GB2312" w:hAnsi="仿宋_GB2312" w:eastAsia="宋体"/>
      <w:sz w:val="24"/>
    </w:rPr>
  </w:style>
  <w:style w:type="paragraph" w:customStyle="1" w:styleId="805">
    <w:name w:val="样式 样式 样式 首行缩进:  2 字符 + 首行缩进:  2 字符 + 仿宋_GB23124"/>
    <w:basedOn w:val="349"/>
    <w:qFormat/>
    <w:uiPriority w:val="0"/>
    <w:pPr>
      <w:spacing w:line="360" w:lineRule="auto"/>
    </w:pPr>
    <w:rPr>
      <w:rFonts w:ascii="仿宋_GB2312" w:hAnsi="仿宋_GB2312" w:eastAsia="宋体"/>
      <w:sz w:val="24"/>
    </w:rPr>
  </w:style>
  <w:style w:type="paragraph" w:customStyle="1" w:styleId="806">
    <w:name w:val="Char Char6 Char Char Char Char Char Char Char Char Char Char Char Char Char1"/>
    <w:basedOn w:val="1"/>
    <w:qFormat/>
    <w:uiPriority w:val="0"/>
    <w:rPr>
      <w:sz w:val="24"/>
      <w:szCs w:val="24"/>
    </w:rPr>
  </w:style>
  <w:style w:type="paragraph" w:customStyle="1" w:styleId="807">
    <w:name w:val="样式 样式 样式 样式 正文缩进s4 + 首行缩进:  2 字符 + 首行缩进:  2 字符 + + 首行缩进:  2 字符"/>
    <w:basedOn w:val="410"/>
    <w:qFormat/>
    <w:uiPriority w:val="0"/>
    <w:pPr>
      <w:tabs>
        <w:tab w:val="left" w:pos="2940"/>
      </w:tabs>
      <w:spacing w:line="360" w:lineRule="auto"/>
      <w:ind w:firstLine="200"/>
    </w:pPr>
    <w:rPr>
      <w:rFonts w:ascii="宋体" w:hAnsi="宋体"/>
      <w:kern w:val="16"/>
      <w:sz w:val="28"/>
      <w:szCs w:val="20"/>
    </w:rPr>
  </w:style>
  <w:style w:type="paragraph" w:customStyle="1" w:styleId="808">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09">
    <w:name w:val="样式 样式 样式 样式 样式 标题 4款标题1.1.1.1目款标题L4条标题1.1.1.1标题1.1.1.1H4BSH-4W4 ..."/>
    <w:basedOn w:val="1"/>
    <w:qFormat/>
    <w:uiPriority w:val="0"/>
    <w:pPr>
      <w:keepNext/>
      <w:keepLines/>
      <w:tabs>
        <w:tab w:val="left" w:pos="0"/>
        <w:tab w:val="left" w:pos="864"/>
        <w:tab w:val="left" w:pos="1574"/>
      </w:tabs>
      <w:adjustRightInd w:val="0"/>
      <w:snapToGrid w:val="0"/>
      <w:spacing w:beforeLines="30" w:afterLines="50" w:line="360" w:lineRule="auto"/>
      <w:ind w:firstLine="200" w:firstLineChars="200"/>
      <w:jc w:val="left"/>
      <w:outlineLvl w:val="3"/>
    </w:pPr>
    <w:rPr>
      <w:rFonts w:ascii="Arial" w:hAnsi="Arial" w:eastAsia="黑体" w:cs="宋体"/>
      <w:sz w:val="30"/>
    </w:rPr>
  </w:style>
  <w:style w:type="paragraph" w:customStyle="1" w:styleId="810">
    <w:name w:val="样式 样式 样式 样式 正文缩进s4 + 首行缩进:  2 字符 + 首行缩进:  2 字符 + + 小四 首行缩进:  2 ..."/>
    <w:basedOn w:val="410"/>
    <w:qFormat/>
    <w:uiPriority w:val="0"/>
    <w:pPr>
      <w:tabs>
        <w:tab w:val="left" w:pos="2940"/>
      </w:tabs>
      <w:spacing w:line="360" w:lineRule="auto"/>
      <w:ind w:firstLine="464"/>
    </w:pPr>
    <w:rPr>
      <w:rFonts w:ascii="宋体" w:hAnsi="宋体"/>
      <w:kern w:val="16"/>
      <w:sz w:val="24"/>
      <w:szCs w:val="20"/>
    </w:rPr>
  </w:style>
  <w:style w:type="paragraph" w:customStyle="1" w:styleId="811">
    <w:name w:val="样式 样式 首行缩进:  0.99 厘米 + Times New Roman"/>
    <w:basedOn w:val="667"/>
    <w:link w:val="1049"/>
    <w:qFormat/>
    <w:uiPriority w:val="0"/>
    <w:pPr>
      <w:ind w:firstLine="480" w:firstLineChars="200"/>
    </w:pPr>
    <w:rPr>
      <w:rFonts w:ascii="Times New Roman"/>
    </w:rPr>
  </w:style>
  <w:style w:type="paragraph" w:customStyle="1" w:styleId="812">
    <w:name w:val="正文21"/>
    <w:basedOn w:val="437"/>
    <w:link w:val="1051"/>
    <w:qFormat/>
    <w:uiPriority w:val="0"/>
    <w:pPr>
      <w:ind w:firstLine="480" w:firstLineChars="200"/>
      <w:jc w:val="both"/>
    </w:pPr>
    <w:rPr>
      <w:rFonts w:ascii="宋体" w:hAnsi="宋体"/>
      <w:color w:val="000000"/>
    </w:rPr>
  </w:style>
  <w:style w:type="paragraph" w:customStyle="1" w:styleId="813">
    <w:name w:val="样式 样式 标题 4款标题1.1.1.1目款标题L4条标题1.1.1.1标题1.1.1.1H4BSH-4W4 + 段...7 +..."/>
    <w:basedOn w:val="1"/>
    <w:qFormat/>
    <w:uiPriority w:val="0"/>
    <w:pPr>
      <w:keepNext/>
      <w:keepLines/>
      <w:tabs>
        <w:tab w:val="left" w:pos="0"/>
        <w:tab w:val="left" w:pos="864"/>
      </w:tabs>
      <w:adjustRightInd w:val="0"/>
      <w:snapToGrid w:val="0"/>
      <w:spacing w:beforeLines="30" w:afterLines="50" w:line="360" w:lineRule="auto"/>
      <w:ind w:firstLine="200" w:firstLineChars="200"/>
      <w:jc w:val="left"/>
      <w:outlineLvl w:val="3"/>
    </w:pPr>
    <w:rPr>
      <w:rFonts w:ascii="Arial" w:hAnsi="Arial" w:eastAsia="黑体" w:cs="宋体"/>
      <w:color w:val="000000"/>
      <w:sz w:val="30"/>
    </w:rPr>
  </w:style>
  <w:style w:type="paragraph" w:customStyle="1" w:styleId="814">
    <w:name w:val="样式 标题 2节标题 1.1标题 1.1标题 yjm2第一章 标题 2Heading 2 HiddenHeading..."/>
    <w:basedOn w:val="6"/>
    <w:qFormat/>
    <w:uiPriority w:val="0"/>
    <w:pPr>
      <w:tabs>
        <w:tab w:val="left" w:pos="432"/>
        <w:tab w:val="left" w:pos="576"/>
      </w:tabs>
      <w:adjustRightInd w:val="0"/>
      <w:snapToGrid w:val="0"/>
      <w:spacing w:line="360" w:lineRule="auto"/>
      <w:ind w:left="576" w:hanging="576"/>
      <w:jc w:val="left"/>
    </w:pPr>
    <w:rPr>
      <w:rFonts w:ascii="Arial" w:hAnsi="Arial" w:eastAsia="黑体"/>
      <w:color w:val="000000"/>
      <w:sz w:val="32"/>
    </w:rPr>
  </w:style>
  <w:style w:type="paragraph" w:customStyle="1" w:styleId="815">
    <w:name w:val="样式 样式 样式 标题 3条标题1.1.13h33rd levelH3l3CT段物探标题3 Char Char Char ......2"/>
    <w:basedOn w:val="1"/>
    <w:qFormat/>
    <w:uiPriority w:val="0"/>
    <w:pPr>
      <w:keepNext/>
      <w:keepLines/>
      <w:tabs>
        <w:tab w:val="left" w:pos="0"/>
        <w:tab w:val="left" w:pos="720"/>
      </w:tabs>
      <w:adjustRightInd w:val="0"/>
      <w:snapToGrid w:val="0"/>
      <w:spacing w:line="360" w:lineRule="auto"/>
      <w:jc w:val="left"/>
      <w:outlineLvl w:val="2"/>
    </w:pPr>
    <w:rPr>
      <w:rFonts w:eastAsia="黑体"/>
      <w:b/>
      <w:bCs/>
      <w:sz w:val="32"/>
      <w:szCs w:val="32"/>
    </w:rPr>
  </w:style>
  <w:style w:type="paragraph" w:customStyle="1" w:styleId="816">
    <w:name w:val="样式 标题 4款标题1.1.1.1目款标题L4条标题1.1.1.1标题1.1.1.1H4BSH-4W4废1...2"/>
    <w:basedOn w:val="9"/>
    <w:qFormat/>
    <w:uiPriority w:val="0"/>
    <w:pPr>
      <w:keepLines/>
      <w:tabs>
        <w:tab w:val="left" w:pos="432"/>
        <w:tab w:val="left" w:pos="864"/>
      </w:tabs>
      <w:adjustRightInd w:val="0"/>
      <w:snapToGrid w:val="0"/>
      <w:spacing w:line="360" w:lineRule="auto"/>
      <w:ind w:left="864" w:hanging="864"/>
      <w:jc w:val="left"/>
    </w:pPr>
    <w:rPr>
      <w:rFonts w:ascii="Arial" w:hAnsi="Arial" w:eastAsia="黑体"/>
      <w:b w:val="0"/>
      <w:color w:val="auto"/>
      <w:sz w:val="30"/>
      <w:szCs w:val="20"/>
    </w:rPr>
  </w:style>
  <w:style w:type="paragraph" w:customStyle="1" w:styleId="817">
    <w:name w:val="样式17"/>
    <w:basedOn w:val="58"/>
    <w:qFormat/>
    <w:uiPriority w:val="0"/>
    <w:pPr>
      <w:tabs>
        <w:tab w:val="left" w:pos="630"/>
        <w:tab w:val="right" w:leader="dot" w:pos="9232"/>
        <w:tab w:val="clear" w:pos="735"/>
        <w:tab w:val="clear" w:pos="8511"/>
      </w:tabs>
      <w:adjustRightInd w:val="0"/>
      <w:snapToGrid w:val="0"/>
      <w:spacing w:line="300" w:lineRule="auto"/>
      <w:jc w:val="left"/>
    </w:pPr>
    <w:rPr>
      <w:rFonts w:eastAsia="楷体"/>
      <w:b/>
      <w:bCs/>
      <w:caps/>
      <w:sz w:val="28"/>
    </w:rPr>
  </w:style>
  <w:style w:type="paragraph" w:customStyle="1" w:styleId="818">
    <w:name w:val="样式18"/>
    <w:basedOn w:val="73"/>
    <w:qFormat/>
    <w:uiPriority w:val="0"/>
    <w:pPr>
      <w:tabs>
        <w:tab w:val="left" w:pos="1050"/>
        <w:tab w:val="right" w:leader="dot" w:pos="9232"/>
      </w:tabs>
      <w:adjustRightInd w:val="0"/>
      <w:snapToGrid w:val="0"/>
      <w:spacing w:line="300" w:lineRule="auto"/>
      <w:ind w:left="210" w:leftChars="0"/>
      <w:jc w:val="left"/>
    </w:pPr>
    <w:rPr>
      <w:rFonts w:eastAsia="楷体"/>
      <w:smallCaps/>
      <w:sz w:val="28"/>
    </w:rPr>
  </w:style>
  <w:style w:type="paragraph" w:customStyle="1" w:styleId="819">
    <w:name w:val="样式19"/>
    <w:basedOn w:val="43"/>
    <w:qFormat/>
    <w:uiPriority w:val="0"/>
    <w:pPr>
      <w:tabs>
        <w:tab w:val="left" w:pos="1260"/>
        <w:tab w:val="right" w:leader="dot" w:pos="9232"/>
      </w:tabs>
      <w:adjustRightInd w:val="0"/>
      <w:snapToGrid w:val="0"/>
      <w:spacing w:line="300" w:lineRule="auto"/>
      <w:ind w:left="420" w:leftChars="0"/>
      <w:jc w:val="left"/>
    </w:pPr>
    <w:rPr>
      <w:rFonts w:eastAsia="楷体"/>
      <w:iCs/>
      <w:sz w:val="24"/>
      <w:szCs w:val="24"/>
    </w:rPr>
  </w:style>
  <w:style w:type="paragraph" w:customStyle="1" w:styleId="820">
    <w:name w:val="标题 4款标题1.1.1.1目款标题L4条标题1.1.1.1标题1.1.1.1H4BSH-4W4废1...2"/>
    <w:basedOn w:val="9"/>
    <w:link w:val="1056"/>
    <w:qFormat/>
    <w:uiPriority w:val="0"/>
    <w:pPr>
      <w:keepLines/>
      <w:tabs>
        <w:tab w:val="left" w:pos="432"/>
        <w:tab w:val="left" w:pos="864"/>
      </w:tabs>
      <w:adjustRightInd w:val="0"/>
      <w:snapToGrid w:val="0"/>
      <w:spacing w:beforeLines="30" w:line="360" w:lineRule="auto"/>
      <w:ind w:left="864" w:hanging="864"/>
      <w:jc w:val="left"/>
    </w:pPr>
    <w:rPr>
      <w:rFonts w:ascii="宋体" w:hAnsi="宋体" w:eastAsia="黑体" w:cs="宋体"/>
      <w:b w:val="0"/>
      <w:color w:val="auto"/>
      <w:sz w:val="28"/>
    </w:rPr>
  </w:style>
  <w:style w:type="paragraph" w:customStyle="1" w:styleId="821">
    <w:name w:val="样式 样式 标题 4款标题1.1.1.1目款标题L4条标题1.1.1.1标题1.1.1.1H4BSH-4W4 + 段...4 +..."/>
    <w:basedOn w:val="1"/>
    <w:qFormat/>
    <w:uiPriority w:val="0"/>
    <w:pPr>
      <w:keepNext/>
      <w:keepLines/>
      <w:tabs>
        <w:tab w:val="left" w:pos="0"/>
        <w:tab w:val="left" w:pos="864"/>
      </w:tabs>
      <w:adjustRightInd w:val="0"/>
      <w:snapToGrid w:val="0"/>
      <w:spacing w:beforeLines="30" w:afterLines="50" w:line="360" w:lineRule="auto"/>
      <w:ind w:firstLine="200" w:firstLineChars="200"/>
      <w:jc w:val="left"/>
      <w:outlineLvl w:val="3"/>
    </w:pPr>
    <w:rPr>
      <w:rFonts w:ascii="Arial" w:hAnsi="Arial" w:eastAsia="黑体" w:cs="宋体"/>
      <w:sz w:val="30"/>
    </w:rPr>
  </w:style>
  <w:style w:type="paragraph" w:customStyle="1" w:styleId="822">
    <w:name w:val="样式 样式 标题 3条标题1.1.13h33rd levelH3l3CT段物探标题3 Char Char Char ... + ..."/>
    <w:basedOn w:val="1"/>
    <w:link w:val="1057"/>
    <w:qFormat/>
    <w:uiPriority w:val="0"/>
    <w:pPr>
      <w:keepNext/>
      <w:keepLines/>
      <w:tabs>
        <w:tab w:val="left" w:pos="720"/>
      </w:tabs>
      <w:adjustRightInd w:val="0"/>
      <w:snapToGrid w:val="0"/>
      <w:spacing w:before="93" w:line="360" w:lineRule="auto"/>
      <w:ind w:left="720" w:hanging="720"/>
      <w:jc w:val="left"/>
      <w:outlineLvl w:val="2"/>
    </w:pPr>
    <w:rPr>
      <w:rFonts w:eastAsia="黑体"/>
      <w:b/>
      <w:color w:val="000000"/>
      <w:sz w:val="32"/>
    </w:rPr>
  </w:style>
  <w:style w:type="paragraph" w:customStyle="1" w:styleId="823">
    <w:name w:val="样式 标题 3条标题1.1.13h33rd levelH3l3CT段物探标题3 Char Char Char ...4"/>
    <w:basedOn w:val="8"/>
    <w:qFormat/>
    <w:uiPriority w:val="0"/>
    <w:pPr>
      <w:tabs>
        <w:tab w:val="left" w:pos="720"/>
        <w:tab w:val="left" w:pos="1140"/>
      </w:tabs>
      <w:adjustRightInd w:val="0"/>
      <w:snapToGrid w:val="0"/>
      <w:spacing w:beforeLines="30" w:after="0" w:line="360" w:lineRule="auto"/>
      <w:ind w:left="1140" w:hanging="720"/>
      <w:jc w:val="left"/>
    </w:pPr>
    <w:rPr>
      <w:rFonts w:eastAsia="黑体"/>
      <w:bCs w:val="0"/>
      <w:color w:val="000000"/>
      <w:kern w:val="16"/>
      <w:szCs w:val="20"/>
    </w:rPr>
  </w:style>
  <w:style w:type="paragraph" w:customStyle="1" w:styleId="824">
    <w:name w:val="样式 标题 3条标题1.1.13h33rd levelH3l3CT段物探标题3 Char Char Char ...3"/>
    <w:basedOn w:val="8"/>
    <w:qFormat/>
    <w:uiPriority w:val="0"/>
    <w:pPr>
      <w:tabs>
        <w:tab w:val="left" w:pos="720"/>
        <w:tab w:val="left" w:pos="1140"/>
      </w:tabs>
      <w:adjustRightInd w:val="0"/>
      <w:snapToGrid w:val="0"/>
      <w:spacing w:before="0" w:after="0" w:line="360" w:lineRule="auto"/>
      <w:ind w:left="1140" w:hanging="720"/>
    </w:pPr>
    <w:rPr>
      <w:rFonts w:eastAsia="黑体"/>
      <w:bCs w:val="0"/>
      <w:color w:val="000000"/>
      <w:szCs w:val="20"/>
    </w:rPr>
  </w:style>
  <w:style w:type="paragraph" w:customStyle="1" w:styleId="825">
    <w:name w:val="样式 样式 样式 标题 3条标题1.1.13h33rd levelH3l3CT段物探标题3 Char Char Char ......3"/>
    <w:basedOn w:val="822"/>
    <w:link w:val="1058"/>
    <w:qFormat/>
    <w:uiPriority w:val="0"/>
    <w:pPr>
      <w:tabs>
        <w:tab w:val="left" w:pos="0"/>
        <w:tab w:val="clear" w:pos="720"/>
      </w:tabs>
      <w:spacing w:before="0"/>
      <w:ind w:left="0" w:firstLine="0"/>
    </w:pPr>
    <w:rPr>
      <w:bCs/>
      <w:color w:val="auto"/>
      <w:szCs w:val="32"/>
    </w:rPr>
  </w:style>
  <w:style w:type="paragraph" w:customStyle="1" w:styleId="826">
    <w:name w:val="样式 样式 标题 3条标题1.1.13h33rd levelH3l3CT段物探标题3 Char Char Char ...1 +..."/>
    <w:basedOn w:val="1"/>
    <w:qFormat/>
    <w:uiPriority w:val="0"/>
    <w:pPr>
      <w:keepNext/>
      <w:keepLines/>
      <w:tabs>
        <w:tab w:val="left" w:pos="720"/>
      </w:tabs>
      <w:adjustRightInd w:val="0"/>
      <w:snapToGrid w:val="0"/>
      <w:spacing w:beforeLines="30" w:line="360" w:lineRule="auto"/>
      <w:ind w:left="720" w:hanging="720"/>
      <w:jc w:val="left"/>
      <w:outlineLvl w:val="2"/>
    </w:pPr>
    <w:rPr>
      <w:rFonts w:eastAsia="黑体" w:cs="宋体"/>
      <w:b/>
      <w:bCs/>
      <w:sz w:val="32"/>
    </w:rPr>
  </w:style>
  <w:style w:type="paragraph" w:customStyle="1" w:styleId="827">
    <w:name w:val="样式 样式 标题 4款标题1.1.1.1目款标题L4条标题1.1.1.1标题1.1.1.1H4BSH-4W4 + 段...5 +..."/>
    <w:basedOn w:val="1"/>
    <w:qFormat/>
    <w:uiPriority w:val="0"/>
    <w:pPr>
      <w:keepNext/>
      <w:keepLines/>
      <w:tabs>
        <w:tab w:val="left" w:pos="864"/>
      </w:tabs>
      <w:adjustRightInd w:val="0"/>
      <w:snapToGrid w:val="0"/>
      <w:spacing w:beforeLines="30" w:line="360" w:lineRule="auto"/>
      <w:ind w:left="864" w:hanging="864"/>
      <w:jc w:val="left"/>
      <w:outlineLvl w:val="3"/>
    </w:pPr>
    <w:rPr>
      <w:rFonts w:ascii="Arial" w:hAnsi="Arial" w:eastAsia="黑体" w:cs="宋体"/>
      <w:sz w:val="30"/>
    </w:rPr>
  </w:style>
  <w:style w:type="paragraph" w:customStyle="1" w:styleId="828">
    <w:name w:val="样式 标题 4款标题1.1.1.1目款标题L4条标题1.1.1.1标题1.1.1.1H4BSH-4W4 + 段...6"/>
    <w:basedOn w:val="9"/>
    <w:qFormat/>
    <w:uiPriority w:val="0"/>
    <w:pPr>
      <w:keepLines/>
      <w:tabs>
        <w:tab w:val="left" w:pos="432"/>
        <w:tab w:val="left" w:pos="864"/>
      </w:tabs>
      <w:adjustRightInd w:val="0"/>
      <w:snapToGrid w:val="0"/>
      <w:spacing w:beforeLines="30" w:line="360" w:lineRule="auto"/>
      <w:ind w:left="864" w:hanging="864"/>
      <w:jc w:val="left"/>
    </w:pPr>
    <w:rPr>
      <w:rFonts w:ascii="Arial" w:hAnsi="Arial" w:eastAsia="黑体" w:cs="宋体"/>
      <w:b w:val="0"/>
      <w:color w:val="000000"/>
      <w:sz w:val="30"/>
      <w:szCs w:val="20"/>
    </w:rPr>
  </w:style>
  <w:style w:type="paragraph" w:customStyle="1" w:styleId="829">
    <w:name w:val="样式 标题 4款标题1.1.1.1目款标题L4条标题1.1.1.1标题1.1.1.1H4BSH-4W4 + 蓝..."/>
    <w:basedOn w:val="9"/>
    <w:qFormat/>
    <w:uiPriority w:val="0"/>
    <w:pPr>
      <w:keepLines/>
      <w:tabs>
        <w:tab w:val="left" w:pos="432"/>
        <w:tab w:val="left" w:pos="864"/>
      </w:tabs>
      <w:adjustRightInd w:val="0"/>
      <w:snapToGrid w:val="0"/>
      <w:spacing w:beforeLines="30" w:line="360" w:lineRule="auto"/>
      <w:ind w:left="864" w:hanging="864"/>
      <w:jc w:val="left"/>
    </w:pPr>
    <w:rPr>
      <w:rFonts w:ascii="Arial" w:hAnsi="Arial" w:eastAsia="黑体" w:cs="宋体"/>
      <w:b w:val="0"/>
      <w:color w:val="0000FF"/>
      <w:sz w:val="30"/>
      <w:szCs w:val="20"/>
    </w:rPr>
  </w:style>
  <w:style w:type="paragraph" w:customStyle="1" w:styleId="830">
    <w:name w:val="样式 样式 表格 + 五号 蓝色 段前: 自动 段后: 自动 行距: 固定值 14 磅 + 自动设置"/>
    <w:basedOn w:val="236"/>
    <w:qFormat/>
    <w:uiPriority w:val="0"/>
    <w:pPr>
      <w:spacing w:before="0" w:beforeAutospacing="0" w:after="0" w:afterAutospacing="0" w:line="360" w:lineRule="exact"/>
    </w:pPr>
    <w:rPr>
      <w:rFonts w:cs="宋体"/>
      <w:color w:val="auto"/>
    </w:rPr>
  </w:style>
  <w:style w:type="paragraph" w:customStyle="1" w:styleId="831">
    <w:name w:val="样式 样式 样式 样式 样式 标题 4款标题1.1.1.1目款标题L4条标题1.1.1.1标题1.1.1.1H4BSH-4W4 ...4"/>
    <w:basedOn w:val="832"/>
    <w:qFormat/>
    <w:uiPriority w:val="0"/>
    <w:pPr>
      <w:tabs>
        <w:tab w:val="left" w:pos="864"/>
      </w:tabs>
      <w:spacing w:before="93"/>
    </w:pPr>
  </w:style>
  <w:style w:type="paragraph" w:customStyle="1" w:styleId="832">
    <w:name w:val="样式 样式 样式 样式 标题 4款标题1.1.1.1目款标题L4条标题1.1.1.1标题1.1.1.1H4BSH-4W4 + 段...1"/>
    <w:basedOn w:val="833"/>
    <w:qFormat/>
    <w:uiPriority w:val="0"/>
    <w:pPr>
      <w:tabs>
        <w:tab w:val="left" w:pos="864"/>
      </w:tabs>
      <w:ind w:left="0" w:firstLine="0"/>
    </w:pPr>
  </w:style>
  <w:style w:type="paragraph" w:customStyle="1" w:styleId="833">
    <w:name w:val="样式 样式 样式 标题 4款标题1.1.1.1目款标题L4条标题1.1.1.1标题1.1.1.1H4BSH-4W4 + 段......"/>
    <w:basedOn w:val="834"/>
    <w:qFormat/>
    <w:uiPriority w:val="0"/>
    <w:pPr>
      <w:tabs>
        <w:tab w:val="left" w:pos="864"/>
      </w:tabs>
    </w:pPr>
  </w:style>
  <w:style w:type="paragraph" w:customStyle="1" w:styleId="834">
    <w:name w:val="样式 样式 标题 4款标题1.1.1.1目款标题L4条标题1.1.1.1标题1.1.1.1H4BSH-4W4 + 段...3 +..."/>
    <w:basedOn w:val="777"/>
    <w:qFormat/>
    <w:uiPriority w:val="0"/>
    <w:pPr>
      <w:tabs>
        <w:tab w:val="left" w:pos="864"/>
        <w:tab w:val="clear" w:pos="6744"/>
      </w:tabs>
    </w:pPr>
    <w:rPr>
      <w:color w:val="auto"/>
    </w:rPr>
  </w:style>
  <w:style w:type="paragraph" w:customStyle="1" w:styleId="835">
    <w:name w:val="样式 标题 4款标题1.1.1.1目款标题L4条标题1.1.1.1标题1.1.1.1H4BSH-4W4 + 段..."/>
    <w:basedOn w:val="9"/>
    <w:qFormat/>
    <w:uiPriority w:val="0"/>
    <w:pPr>
      <w:keepLines/>
      <w:tabs>
        <w:tab w:val="left" w:pos="432"/>
        <w:tab w:val="left" w:pos="864"/>
      </w:tabs>
      <w:adjustRightInd w:val="0"/>
      <w:snapToGrid w:val="0"/>
      <w:spacing w:beforeLines="30" w:line="360" w:lineRule="auto"/>
      <w:ind w:left="864" w:hanging="864"/>
      <w:jc w:val="left"/>
    </w:pPr>
    <w:rPr>
      <w:rFonts w:ascii="Arial" w:hAnsi="Arial" w:eastAsia="黑体" w:cs="宋体"/>
      <w:b w:val="0"/>
      <w:color w:val="000000"/>
      <w:sz w:val="30"/>
      <w:szCs w:val="20"/>
    </w:rPr>
  </w:style>
  <w:style w:type="paragraph" w:customStyle="1" w:styleId="836">
    <w:name w:val="样式（ 题注 ）"/>
    <w:basedOn w:val="1"/>
    <w:qFormat/>
    <w:uiPriority w:val="0"/>
    <w:pPr>
      <w:adjustRightInd w:val="0"/>
      <w:snapToGrid w:val="0"/>
    </w:pPr>
    <w:rPr>
      <w:rFonts w:ascii="黑体" w:hAnsi="黑体" w:eastAsia="黑体" w:cs="Arial"/>
      <w:snapToGrid w:val="0"/>
      <w:kern w:val="0"/>
    </w:rPr>
  </w:style>
  <w:style w:type="paragraph" w:customStyle="1" w:styleId="837">
    <w:name w:val="样式 标题 4款标题1.1.1.1目款标题L4条标题1.1.1.1标题1.1.1.1H4BSH-4W4 + 段...2"/>
    <w:basedOn w:val="9"/>
    <w:qFormat/>
    <w:uiPriority w:val="0"/>
    <w:pPr>
      <w:keepLines/>
      <w:tabs>
        <w:tab w:val="left" w:pos="432"/>
        <w:tab w:val="left" w:pos="864"/>
      </w:tabs>
      <w:adjustRightInd w:val="0"/>
      <w:snapToGrid w:val="0"/>
      <w:spacing w:beforeLines="30" w:line="360" w:lineRule="auto"/>
      <w:ind w:left="864" w:hanging="864"/>
      <w:jc w:val="left"/>
    </w:pPr>
    <w:rPr>
      <w:rFonts w:ascii="Arial" w:hAnsi="Arial" w:eastAsia="黑体" w:cs="宋体"/>
      <w:b w:val="0"/>
      <w:color w:val="000000"/>
      <w:sz w:val="30"/>
      <w:szCs w:val="20"/>
    </w:rPr>
  </w:style>
  <w:style w:type="paragraph" w:customStyle="1" w:styleId="838">
    <w:name w:val="样式 标题 4款标题1.1.1.1目款标题L4条标题1.1.1.1标题1.1.1.1H4BSH-4W4 + 段...4"/>
    <w:basedOn w:val="9"/>
    <w:qFormat/>
    <w:uiPriority w:val="0"/>
    <w:pPr>
      <w:keepLines/>
      <w:tabs>
        <w:tab w:val="left" w:pos="432"/>
        <w:tab w:val="left" w:pos="864"/>
      </w:tabs>
      <w:adjustRightInd w:val="0"/>
      <w:snapToGrid w:val="0"/>
      <w:spacing w:beforeLines="30" w:line="360" w:lineRule="auto"/>
      <w:ind w:left="864" w:hanging="864"/>
      <w:jc w:val="left"/>
    </w:pPr>
    <w:rPr>
      <w:rFonts w:ascii="Arial" w:hAnsi="Arial" w:eastAsia="黑体" w:cs="宋体"/>
      <w:b w:val="0"/>
      <w:color w:val="000000"/>
      <w:sz w:val="30"/>
      <w:szCs w:val="20"/>
    </w:rPr>
  </w:style>
  <w:style w:type="paragraph" w:customStyle="1" w:styleId="839">
    <w:name w:val="样式 标题 4款标题1.1.1.1目款标题L4条标题1.1.1.1标题1.1.1.1H44BSH-4W4 +...4"/>
    <w:basedOn w:val="9"/>
    <w:qFormat/>
    <w:uiPriority w:val="0"/>
    <w:pPr>
      <w:keepLines/>
      <w:tabs>
        <w:tab w:val="left" w:pos="864"/>
      </w:tabs>
      <w:adjustRightInd w:val="0"/>
      <w:snapToGrid w:val="0"/>
      <w:spacing w:line="360" w:lineRule="auto"/>
      <w:ind w:left="200" w:hanging="200"/>
      <w:jc w:val="left"/>
      <w:textAlignment w:val="baseline"/>
    </w:pPr>
    <w:rPr>
      <w:rFonts w:eastAsia="黑体" w:cs="宋体"/>
      <w:b w:val="0"/>
      <w:bCs/>
      <w:color w:val="auto"/>
      <w:kern w:val="0"/>
      <w:sz w:val="30"/>
      <w:szCs w:val="20"/>
    </w:rPr>
  </w:style>
  <w:style w:type="paragraph" w:customStyle="1" w:styleId="840">
    <w:name w:val="样式 标题 4款标题1.1.1.1目款标题L4条标题1.1.1.1标题1.1.1.1H4BSH-4W4 + 段...5"/>
    <w:basedOn w:val="9"/>
    <w:qFormat/>
    <w:uiPriority w:val="0"/>
    <w:pPr>
      <w:keepLines/>
      <w:tabs>
        <w:tab w:val="left" w:pos="432"/>
        <w:tab w:val="left" w:pos="864"/>
      </w:tabs>
      <w:adjustRightInd w:val="0"/>
      <w:snapToGrid w:val="0"/>
      <w:spacing w:beforeLines="30" w:line="360" w:lineRule="auto"/>
      <w:ind w:left="864" w:hanging="864"/>
      <w:jc w:val="left"/>
    </w:pPr>
    <w:rPr>
      <w:rFonts w:ascii="Arial" w:hAnsi="Arial" w:eastAsia="黑体" w:cs="宋体"/>
      <w:b w:val="0"/>
      <w:color w:val="000000"/>
      <w:sz w:val="30"/>
      <w:szCs w:val="20"/>
    </w:rPr>
  </w:style>
  <w:style w:type="paragraph" w:customStyle="1" w:styleId="841">
    <w:name w:val="样式 标题 4款标题1.1.1.1目款标题L4条标题1.1.1.1标题1.1.1.1H4BSH-4W4 + 蓝...1"/>
    <w:basedOn w:val="9"/>
    <w:qFormat/>
    <w:uiPriority w:val="0"/>
    <w:pPr>
      <w:keepLines/>
      <w:tabs>
        <w:tab w:val="left" w:pos="432"/>
        <w:tab w:val="left" w:pos="864"/>
      </w:tabs>
      <w:adjustRightInd w:val="0"/>
      <w:snapToGrid w:val="0"/>
      <w:spacing w:beforeLines="30" w:line="360" w:lineRule="auto"/>
      <w:ind w:left="864" w:hanging="864"/>
      <w:jc w:val="left"/>
    </w:pPr>
    <w:rPr>
      <w:rFonts w:ascii="Arial" w:hAnsi="Arial" w:eastAsia="黑体" w:cs="宋体"/>
      <w:b w:val="0"/>
      <w:color w:val="0000FF"/>
      <w:sz w:val="30"/>
      <w:szCs w:val="20"/>
    </w:rPr>
  </w:style>
  <w:style w:type="paragraph" w:customStyle="1" w:styleId="842">
    <w:name w:val="样式 样式 标题 4款标题1.1.1.1目款标题L4条标题1.1.1.1标题1.1.1.1H4BSH-4W4 + 段...2 +..."/>
    <w:basedOn w:val="837"/>
    <w:qFormat/>
    <w:uiPriority w:val="0"/>
    <w:pPr>
      <w:spacing w:before="30"/>
    </w:pPr>
  </w:style>
  <w:style w:type="paragraph" w:customStyle="1" w:styleId="843">
    <w:name w:val="样式 标题 4款标题1.1.1.1目款标题L4条标题1.1.1.1标题1.1.1.1H4BSH-4W4 + 段...7"/>
    <w:basedOn w:val="9"/>
    <w:qFormat/>
    <w:uiPriority w:val="0"/>
    <w:pPr>
      <w:keepLines/>
      <w:tabs>
        <w:tab w:val="left" w:pos="6744"/>
      </w:tabs>
      <w:adjustRightInd w:val="0"/>
      <w:snapToGrid w:val="0"/>
      <w:spacing w:beforeLines="30" w:line="360" w:lineRule="auto"/>
      <w:ind w:left="6744" w:hanging="864"/>
      <w:jc w:val="left"/>
    </w:pPr>
    <w:rPr>
      <w:rFonts w:ascii="Arial" w:hAnsi="Arial" w:eastAsia="黑体" w:cs="宋体"/>
      <w:b w:val="0"/>
      <w:color w:val="000000"/>
      <w:sz w:val="30"/>
      <w:szCs w:val="20"/>
    </w:rPr>
  </w:style>
  <w:style w:type="paragraph" w:customStyle="1" w:styleId="844">
    <w:name w:val="样式 样式 标题 4款标题1.1.1.1目款标题L4条标题1.1.1.1标题1.1.1.1H4BSH-4W4 + 段...1 +..."/>
    <w:basedOn w:val="772"/>
    <w:qFormat/>
    <w:uiPriority w:val="0"/>
    <w:pPr>
      <w:tabs>
        <w:tab w:val="left" w:pos="864"/>
        <w:tab w:val="clear" w:pos="432"/>
      </w:tabs>
      <w:ind w:left="864" w:hanging="864"/>
    </w:pPr>
    <w:rPr>
      <w:color w:val="auto"/>
    </w:rPr>
  </w:style>
  <w:style w:type="paragraph" w:customStyle="1" w:styleId="845">
    <w:name w:val="样式 样式 标题 4款标题1.1.1.1目款标题L4条标题1.1.1.1标题1.1.1.1H4BSH-4W4 + 段... + ..."/>
    <w:basedOn w:val="835"/>
    <w:qFormat/>
    <w:uiPriority w:val="0"/>
    <w:pPr>
      <w:spacing w:before="30"/>
    </w:pPr>
    <w:rPr>
      <w:color w:val="auto"/>
    </w:rPr>
  </w:style>
  <w:style w:type="paragraph" w:customStyle="1" w:styleId="846">
    <w:name w:val="样式 样式 样式 样式 标题 4款标题1.1.1.1目款标题L4条标题1.1.1.1标题1.1.1.1H4BSH-4W4 + 段..."/>
    <w:basedOn w:val="833"/>
    <w:qFormat/>
    <w:uiPriority w:val="0"/>
  </w:style>
  <w:style w:type="paragraph" w:customStyle="1" w:styleId="847">
    <w:name w:val="样式 样式 样式 样式 样式 标题 4款标题1.1.1.1目款标题L4条标题1.1.1.1标题1.1.1.1H4BSH-4W4 ...1"/>
    <w:basedOn w:val="846"/>
    <w:qFormat/>
    <w:uiPriority w:val="0"/>
    <w:pPr>
      <w:ind w:left="0" w:firstLine="0"/>
    </w:pPr>
  </w:style>
  <w:style w:type="paragraph" w:customStyle="1" w:styleId="848">
    <w:name w:val="样式 样式 样式 样式 样式 标题 4款标题1.1.1.1目款标题L4条标题1.1.1.1标题1.1.1.1H4BSH-4W4 ...2"/>
    <w:basedOn w:val="846"/>
    <w:qFormat/>
    <w:uiPriority w:val="0"/>
    <w:pPr>
      <w:spacing w:before="93"/>
      <w:ind w:left="0" w:firstLine="0"/>
    </w:pPr>
  </w:style>
  <w:style w:type="paragraph" w:customStyle="1" w:styleId="849">
    <w:name w:val="样式 样式 样式 样式 样式 标题 4款标题1.1.1.1目款标题L4条标题1.1.1.1标题1.1.1.1H4BSH-4W4 ...3"/>
    <w:basedOn w:val="846"/>
    <w:qFormat/>
    <w:uiPriority w:val="0"/>
    <w:pPr>
      <w:ind w:left="0" w:firstLine="0"/>
    </w:pPr>
  </w:style>
  <w:style w:type="paragraph" w:customStyle="1" w:styleId="850">
    <w:name w:val="样式 样式 样式 标题 4款标题1.1.1.1目款标题L4条标题1.1.1.1标题1.1.1.1H4BSH-4W4 + 段......1"/>
    <w:basedOn w:val="834"/>
    <w:qFormat/>
    <w:uiPriority w:val="0"/>
  </w:style>
  <w:style w:type="paragraph" w:customStyle="1" w:styleId="851">
    <w:name w:val="样式 样式 样式 样式 标题 4款标题1.1.1.1目款标题L4条标题1.1.1.1标题1.1.1.1H4BSH-4W4 + 段...2"/>
    <w:basedOn w:val="850"/>
    <w:qFormat/>
    <w:uiPriority w:val="0"/>
    <w:pPr>
      <w:tabs>
        <w:tab w:val="clear" w:pos="864"/>
      </w:tabs>
      <w:ind w:left="0" w:firstLine="0"/>
    </w:pPr>
  </w:style>
  <w:style w:type="paragraph" w:customStyle="1" w:styleId="852">
    <w:name w:val="样式 样式 样式 样式 样式 样式 标题 4款标题1.1.1.1目款标题L4条标题1.1.1.1标题1.1.1.1H4BSH-4...1"/>
    <w:basedOn w:val="847"/>
    <w:qFormat/>
    <w:uiPriority w:val="0"/>
    <w:pPr>
      <w:spacing w:before="93"/>
    </w:pPr>
  </w:style>
  <w:style w:type="paragraph" w:customStyle="1" w:styleId="853">
    <w:name w:val="样式 样式（ 题注 ） + 段前: 0.2 行 段后: 0.2 行"/>
    <w:basedOn w:val="836"/>
    <w:qFormat/>
    <w:uiPriority w:val="0"/>
    <w:rPr>
      <w:rFonts w:cs="宋体"/>
    </w:rPr>
  </w:style>
  <w:style w:type="paragraph" w:customStyle="1" w:styleId="854">
    <w:name w:val="样式 样式 标题 4款标题1.1.1.1目款标题L4条标题1.1.1.1标题1.1.1.1H4BSH-4W4 + 蓝... + ..."/>
    <w:basedOn w:val="829"/>
    <w:qFormat/>
    <w:uiPriority w:val="0"/>
    <w:rPr>
      <w:color w:val="auto"/>
    </w:rPr>
  </w:style>
  <w:style w:type="paragraph" w:customStyle="1" w:styleId="855">
    <w:name w:val="样式 样式 正文文本缩进 + 仿宋_GB2312 四号 段后: 0 磅 行距: 1.5 倍行距 + Times New Roma..."/>
    <w:basedOn w:val="666"/>
    <w:qFormat/>
    <w:uiPriority w:val="0"/>
    <w:rPr>
      <w:rFonts w:ascii="Times New Roman"/>
    </w:rPr>
  </w:style>
  <w:style w:type="paragraph" w:customStyle="1" w:styleId="856">
    <w:name w:val="样式 样式 首行缩进:  2 字符1 + Times New Roman 首行缩进:  2 字符"/>
    <w:basedOn w:val="656"/>
    <w:qFormat/>
    <w:uiPriority w:val="0"/>
    <w:rPr>
      <w:rFonts w:ascii="Times New Roman" w:hAnsi="仿宋_GB2312"/>
      <w:szCs w:val="20"/>
    </w:rPr>
  </w:style>
  <w:style w:type="paragraph" w:customStyle="1" w:styleId="857">
    <w:name w:val="样式 样式 首行缩进:  0.99 厘米 + Times New Roman 首行缩进:  0.85 厘米"/>
    <w:basedOn w:val="667"/>
    <w:qFormat/>
    <w:uiPriority w:val="0"/>
    <w:pPr>
      <w:ind w:firstLine="480" w:firstLineChars="200"/>
    </w:pPr>
    <w:rPr>
      <w:rFonts w:ascii="Times New Roman"/>
      <w:szCs w:val="20"/>
    </w:rPr>
  </w:style>
  <w:style w:type="paragraph" w:customStyle="1" w:styleId="858">
    <w:name w:val="样式 样式 首行缩进:  0.99 厘米 + Times New Roman1"/>
    <w:basedOn w:val="667"/>
    <w:qFormat/>
    <w:uiPriority w:val="0"/>
    <w:pPr>
      <w:ind w:firstLine="200" w:firstLineChars="200"/>
    </w:pPr>
    <w:rPr>
      <w:rFonts w:ascii="Times New Roman" w:hAnsi="仿宋_GB2312"/>
      <w:szCs w:val="20"/>
    </w:rPr>
  </w:style>
  <w:style w:type="paragraph" w:customStyle="1" w:styleId="859">
    <w:name w:val="样式 样式 样式 正文文本 + 首行缩进:  2 字符 + 首行缩进:  1.5 字符 + 自动设置"/>
    <w:basedOn w:val="397"/>
    <w:qFormat/>
    <w:uiPriority w:val="0"/>
    <w:pPr>
      <w:autoSpaceDE w:val="0"/>
      <w:autoSpaceDN w:val="0"/>
      <w:adjustRightInd w:val="0"/>
      <w:snapToGrid w:val="0"/>
      <w:spacing w:before="0" w:beforeAutospacing="0" w:after="0" w:afterAutospacing="0" w:line="360" w:lineRule="auto"/>
      <w:ind w:firstLine="200"/>
      <w:textAlignment w:val="bottom"/>
    </w:pPr>
    <w:rPr>
      <w:rFonts w:eastAsia="宋体"/>
      <w:color w:val="auto"/>
      <w:kern w:val="0"/>
      <w:sz w:val="24"/>
      <w:szCs w:val="28"/>
    </w:rPr>
  </w:style>
  <w:style w:type="paragraph" w:customStyle="1" w:styleId="860">
    <w:name w:val="样式 样式 正文文本缩进 + 仿宋_GB2312 四号 段后: 0 磅 行距: 1.5 倍行距 + Times New Roman"/>
    <w:basedOn w:val="666"/>
    <w:link w:val="1062"/>
    <w:qFormat/>
    <w:uiPriority w:val="0"/>
    <w:rPr>
      <w:rFonts w:ascii="Times New Roman" w:hAnsi="Times New Roman"/>
    </w:rPr>
  </w:style>
  <w:style w:type="paragraph" w:customStyle="1" w:styleId="861">
    <w:name w:val="样式 样式 首行缩进:  1.92 字符 + 首行缩进:  2 字符"/>
    <w:basedOn w:val="644"/>
    <w:link w:val="1063"/>
    <w:qFormat/>
    <w:uiPriority w:val="0"/>
  </w:style>
  <w:style w:type="paragraph" w:customStyle="1" w:styleId="862">
    <w:name w:val="样式（正文）"/>
    <w:basedOn w:val="861"/>
    <w:link w:val="1064"/>
    <w:qFormat/>
    <w:uiPriority w:val="0"/>
    <w:pPr>
      <w:ind w:firstLine="480"/>
    </w:pPr>
    <w:rPr>
      <w:rFonts w:ascii="宋体" w:hAnsi="宋体" w:eastAsia="宋体" w:cs="Times New Roman"/>
      <w:snapToGrid w:val="0"/>
      <w:kern w:val="0"/>
      <w:sz w:val="24"/>
      <w:szCs w:val="21"/>
    </w:rPr>
  </w:style>
  <w:style w:type="paragraph" w:customStyle="1" w:styleId="863">
    <w:name w:val="样式 样式 样式 标题 4款标题1.1.1.1目款标题L4条标题1.1.1.1标题1.1.1.1H4BSH-4W4 + 段......2"/>
    <w:basedOn w:val="813"/>
    <w:qFormat/>
    <w:uiPriority w:val="0"/>
    <w:pPr>
      <w:tabs>
        <w:tab w:val="clear" w:pos="0"/>
      </w:tabs>
      <w:spacing w:afterLines="0"/>
      <w:ind w:left="1556" w:hanging="864" w:firstLineChars="0"/>
    </w:pPr>
    <w:rPr>
      <w:color w:val="auto"/>
    </w:rPr>
  </w:style>
  <w:style w:type="paragraph" w:customStyle="1" w:styleId="864">
    <w:name w:val="样式 样式 样式 样式 样式 样式 标题 4款标题1.1.1.1目款标题L4条标题1.1.1.1标题1.1.1.1H4BSH-4..."/>
    <w:basedOn w:val="849"/>
    <w:qFormat/>
    <w:uiPriority w:val="0"/>
  </w:style>
  <w:style w:type="paragraph" w:customStyle="1" w:styleId="865">
    <w:name w:val="样式 目录 2 + 段前: 0.1 行 段后: 0.1 行"/>
    <w:basedOn w:val="73"/>
    <w:qFormat/>
    <w:uiPriority w:val="0"/>
    <w:pPr>
      <w:tabs>
        <w:tab w:val="left" w:pos="840"/>
        <w:tab w:val="right" w:leader="dot" w:pos="9060"/>
      </w:tabs>
      <w:spacing w:beforeLines="10" w:afterLines="10"/>
      <w:ind w:left="210" w:leftChars="0"/>
      <w:jc w:val="left"/>
    </w:pPr>
    <w:rPr>
      <w:rFonts w:eastAsia="楷体" w:cs="宋体"/>
      <w:smallCaps/>
    </w:rPr>
  </w:style>
  <w:style w:type="paragraph" w:customStyle="1" w:styleId="866">
    <w:name w:val="样式 样式 标题 4款标题1.1.1.1目款标题L4条标题1.1.1.1标题1.1.1.1H4BSH-4W4 + 蓝...1 +..."/>
    <w:basedOn w:val="841"/>
    <w:qFormat/>
    <w:uiPriority w:val="0"/>
    <w:rPr>
      <w:color w:val="auto"/>
    </w:rPr>
  </w:style>
  <w:style w:type="paragraph" w:customStyle="1" w:styleId="867">
    <w:name w:val="样式 标题 4款标题1.1.1.1目款标题L4条标题1.1.1.1标题1.1.1.1H4BSH-4W4 + 自..."/>
    <w:basedOn w:val="9"/>
    <w:qFormat/>
    <w:uiPriority w:val="0"/>
    <w:pPr>
      <w:keepLines/>
      <w:tabs>
        <w:tab w:val="left" w:pos="432"/>
        <w:tab w:val="left" w:pos="864"/>
      </w:tabs>
      <w:adjustRightInd w:val="0"/>
      <w:snapToGrid w:val="0"/>
      <w:spacing w:beforeLines="30" w:line="360" w:lineRule="auto"/>
      <w:ind w:left="864" w:hanging="864"/>
      <w:jc w:val="left"/>
    </w:pPr>
    <w:rPr>
      <w:rFonts w:ascii="Arial" w:hAnsi="Arial" w:eastAsia="黑体" w:cs="宋体"/>
      <w:b w:val="0"/>
      <w:color w:val="auto"/>
      <w:sz w:val="30"/>
      <w:szCs w:val="20"/>
    </w:rPr>
  </w:style>
  <w:style w:type="paragraph" w:customStyle="1" w:styleId="868">
    <w:name w:val="样式 样式 样式 样式 标题 4款标题1.1.1.1目款标题L4条标题1.1.1.1标题1.1.1.1H4BSH-4W4 + 段...3"/>
    <w:basedOn w:val="863"/>
    <w:qFormat/>
    <w:uiPriority w:val="0"/>
    <w:pPr>
      <w:tabs>
        <w:tab w:val="clear" w:pos="864"/>
      </w:tabs>
      <w:ind w:left="864"/>
    </w:pPr>
  </w:style>
  <w:style w:type="paragraph" w:customStyle="1" w:styleId="869">
    <w:name w:val="样式 样式 样式 标题 4款标题1.1.1.1目款标题L4条标题1.1.1.1标题1.1.1.1H4BSH-4W4 + 段......3"/>
    <w:basedOn w:val="845"/>
    <w:qFormat/>
    <w:uiPriority w:val="0"/>
    <w:pPr>
      <w:spacing w:before="93"/>
    </w:pPr>
  </w:style>
  <w:style w:type="paragraph" w:customStyle="1" w:styleId="870">
    <w:name w:val="样式 样式 样式 标题 4款标题1.1.1.1目款标题L4条标题1.1.1.1标题1.1.1.1H4BSH-4W4 + 段......4"/>
    <w:basedOn w:val="842"/>
    <w:qFormat/>
    <w:uiPriority w:val="0"/>
    <w:rPr>
      <w:color w:val="auto"/>
    </w:rPr>
  </w:style>
  <w:style w:type="paragraph" w:customStyle="1" w:styleId="871">
    <w:name w:val="样式 样式 样式 样式 样式 样式 标题 4款标题1.1.1.1目款标题L4条标题1.1.1.1标题1.1.1.1H4BSH-4...2"/>
    <w:basedOn w:val="831"/>
    <w:qFormat/>
    <w:uiPriority w:val="0"/>
  </w:style>
  <w:style w:type="paragraph" w:customStyle="1" w:styleId="872">
    <w:name w:val="样式 样式 样式 样式 样式 样式 标题 4款标题1.1.1.1目款标题L4条标题1.1.1.1标题1.1.1.1H4BSH-4...3"/>
    <w:basedOn w:val="831"/>
    <w:qFormat/>
    <w:uiPriority w:val="0"/>
  </w:style>
  <w:style w:type="paragraph" w:customStyle="1" w:styleId="873">
    <w:name w:val="样式 样式 标题 4款标题1.1.1.1目款标题L4条标题1.1.1.1标题1.1.1.1H4BSH-4W4 + 段...6 +..."/>
    <w:basedOn w:val="828"/>
    <w:qFormat/>
    <w:uiPriority w:val="0"/>
    <w:rPr>
      <w:color w:val="auto"/>
    </w:rPr>
  </w:style>
  <w:style w:type="paragraph" w:customStyle="1" w:styleId="874">
    <w:name w:val="样式 样式 样式 样式 样式 标题 4款标题1.1.1.1目款标题L4条标题1.1.1.1标题1.1.1.1H4BSH-4W4 ...5"/>
    <w:basedOn w:val="851"/>
    <w:qFormat/>
    <w:uiPriority w:val="0"/>
    <w:pPr>
      <w:ind w:left="864" w:hanging="864"/>
    </w:pPr>
  </w:style>
  <w:style w:type="paragraph" w:customStyle="1" w:styleId="875">
    <w:name w:val="表（标题）"/>
    <w:basedOn w:val="1"/>
    <w:qFormat/>
    <w:uiPriority w:val="0"/>
    <w:pPr>
      <w:spacing w:line="490" w:lineRule="exact"/>
      <w:jc w:val="center"/>
    </w:pPr>
    <w:rPr>
      <w:rFonts w:ascii="楷体_GB2312" w:eastAsia="楷体_GB2312" w:cs="宋体"/>
      <w:b/>
      <w:bCs/>
      <w:kern w:val="0"/>
      <w:sz w:val="32"/>
      <w:szCs w:val="21"/>
    </w:rPr>
  </w:style>
  <w:style w:type="paragraph" w:customStyle="1" w:styleId="876">
    <w:name w:val="hpzw"/>
    <w:basedOn w:val="1"/>
    <w:link w:val="1065"/>
    <w:qFormat/>
    <w:uiPriority w:val="0"/>
    <w:pPr>
      <w:spacing w:line="360" w:lineRule="auto"/>
      <w:ind w:firstLine="560" w:firstLineChars="200"/>
      <w:jc w:val="center"/>
    </w:pPr>
    <w:rPr>
      <w:rFonts w:cs="宋体"/>
      <w:bCs/>
      <w:sz w:val="24"/>
      <w:szCs w:val="30"/>
    </w:rPr>
  </w:style>
  <w:style w:type="paragraph" w:customStyle="1" w:styleId="877">
    <w:name w:val="样式 标题 3条标题1.1.13h33rd levelH3l3CT段物探标题3 Char Char Char ...1"/>
    <w:basedOn w:val="8"/>
    <w:qFormat/>
    <w:uiPriority w:val="0"/>
    <w:pPr>
      <w:tabs>
        <w:tab w:val="left" w:pos="432"/>
        <w:tab w:val="left" w:pos="720"/>
      </w:tabs>
      <w:adjustRightInd w:val="0"/>
      <w:snapToGrid w:val="0"/>
      <w:spacing w:beforeLines="30" w:after="0" w:line="360" w:lineRule="auto"/>
      <w:jc w:val="left"/>
    </w:pPr>
    <w:rPr>
      <w:rFonts w:eastAsia="黑体" w:cs="宋体"/>
      <w:szCs w:val="20"/>
    </w:rPr>
  </w:style>
  <w:style w:type="paragraph" w:customStyle="1" w:styleId="878">
    <w:name w:val="样式 标题 2标题 1.1节标题 1.11.1标题2b2h2l22nd levelTitre22Header...1"/>
    <w:basedOn w:val="6"/>
    <w:qFormat/>
    <w:uiPriority w:val="0"/>
    <w:pPr>
      <w:keepLines/>
      <w:tabs>
        <w:tab w:val="left" w:pos="1206"/>
      </w:tabs>
      <w:adjustRightInd w:val="0"/>
      <w:snapToGrid w:val="0"/>
      <w:spacing w:line="360" w:lineRule="auto"/>
      <w:ind w:left="1206" w:hanging="576"/>
      <w:jc w:val="both"/>
    </w:pPr>
    <w:rPr>
      <w:rFonts w:ascii="Arial" w:hAnsi="Arial" w:eastAsia="黑体" w:cs="宋体"/>
      <w:b/>
      <w:bCs/>
      <w:sz w:val="32"/>
    </w:rPr>
  </w:style>
  <w:style w:type="paragraph" w:customStyle="1" w:styleId="879">
    <w:name w:val="样式 样式 样式 样式 标题 4款标题1.1.1.1目款标题L4条标题1.1.1.1标题1.1.1.1H4BSH-4W4 + 段...4"/>
    <w:basedOn w:val="870"/>
    <w:qFormat/>
    <w:uiPriority w:val="0"/>
  </w:style>
  <w:style w:type="paragraph" w:customStyle="1" w:styleId="880">
    <w:name w:val="1.1"/>
    <w:basedOn w:val="1"/>
    <w:next w:val="9"/>
    <w:semiHidden/>
    <w:qFormat/>
    <w:uiPriority w:val="0"/>
    <w:pPr>
      <w:keepNext/>
      <w:keepLines/>
      <w:spacing w:line="300" w:lineRule="auto"/>
      <w:outlineLvl w:val="3"/>
    </w:pPr>
    <w:rPr>
      <w:rFonts w:ascii="宋体" w:hAnsi="宋体" w:eastAsia="黑体" w:cs="宋体"/>
      <w:sz w:val="30"/>
    </w:rPr>
  </w:style>
  <w:style w:type="paragraph" w:customStyle="1" w:styleId="881">
    <w:name w:val="样式 标题 5标题1.1.1.1.1标题1.1.1.1.1 Char标题1标题 51标题 51 Char Char标..."/>
    <w:basedOn w:val="10"/>
    <w:qFormat/>
    <w:uiPriority w:val="0"/>
    <w:pPr>
      <w:tabs>
        <w:tab w:val="left" w:pos="432"/>
      </w:tabs>
      <w:adjustRightInd w:val="0"/>
      <w:snapToGrid w:val="0"/>
      <w:spacing w:before="0" w:after="0" w:line="360" w:lineRule="auto"/>
      <w:jc w:val="left"/>
    </w:pPr>
    <w:rPr>
      <w:rFonts w:eastAsia="楷体_GB2312"/>
      <w:b w:val="0"/>
      <w:bCs w:val="0"/>
      <w:szCs w:val="20"/>
    </w:rPr>
  </w:style>
  <w:style w:type="paragraph" w:customStyle="1" w:styleId="882">
    <w:name w:val="样式 标题 5标题1.1.1.1.1标题1.1.1.1.1 Char标题1标题 51标题 51 Char Char标...1"/>
    <w:basedOn w:val="10"/>
    <w:qFormat/>
    <w:uiPriority w:val="0"/>
    <w:pPr>
      <w:tabs>
        <w:tab w:val="left" w:pos="432"/>
      </w:tabs>
      <w:adjustRightInd w:val="0"/>
      <w:snapToGrid w:val="0"/>
      <w:spacing w:before="0" w:after="0" w:line="360" w:lineRule="auto"/>
    </w:pPr>
    <w:rPr>
      <w:rFonts w:eastAsia="楷体_GB2312" w:cs="宋体"/>
      <w:szCs w:val="20"/>
    </w:rPr>
  </w:style>
  <w:style w:type="paragraph" w:customStyle="1" w:styleId="883">
    <w:name w:val="敏感表"/>
    <w:basedOn w:val="1"/>
    <w:next w:val="1"/>
    <w:qFormat/>
    <w:uiPriority w:val="0"/>
    <w:pPr>
      <w:topLinePunct/>
      <w:adjustRightInd w:val="0"/>
      <w:spacing w:line="240" w:lineRule="atLeast"/>
      <w:jc w:val="center"/>
      <w:textAlignment w:val="bottom"/>
    </w:pPr>
    <w:rPr>
      <w:kern w:val="0"/>
    </w:rPr>
  </w:style>
  <w:style w:type="paragraph" w:customStyle="1" w:styleId="884">
    <w:name w:val="样式 样式 样式 标题 3条标题1.1.13h33rd levelH3l3CT段物探标题3 Char Char Char ......"/>
    <w:basedOn w:val="826"/>
    <w:qFormat/>
    <w:uiPriority w:val="0"/>
  </w:style>
  <w:style w:type="paragraph" w:customStyle="1" w:styleId="885">
    <w:name w:val="样式 样式 样式 标题 3条标题1.1.13h33rd levelH3l3CT段物探标题3 Char Char Char ......1"/>
    <w:basedOn w:val="826"/>
    <w:qFormat/>
    <w:uiPriority w:val="0"/>
  </w:style>
  <w:style w:type="paragraph" w:customStyle="1" w:styleId="886">
    <w:name w:val="表格文字2"/>
    <w:basedOn w:val="1"/>
    <w:qFormat/>
    <w:uiPriority w:val="0"/>
    <w:pPr>
      <w:adjustRightInd w:val="0"/>
      <w:snapToGrid w:val="0"/>
      <w:spacing w:before="60"/>
      <w:ind w:firstLine="480"/>
      <w:textAlignment w:val="baseline"/>
    </w:pPr>
    <w:rPr>
      <w:sz w:val="24"/>
    </w:rPr>
  </w:style>
  <w:style w:type="paragraph" w:customStyle="1" w:styleId="887">
    <w:name w:val="样式 标题 3条标题1.1.13h33rd levelH3l3CT段物探标题3 Char Char Char ...2"/>
    <w:basedOn w:val="8"/>
    <w:qFormat/>
    <w:uiPriority w:val="0"/>
    <w:pPr>
      <w:tabs>
        <w:tab w:val="left" w:pos="0"/>
      </w:tabs>
      <w:adjustRightInd w:val="0"/>
      <w:snapToGrid w:val="0"/>
      <w:spacing w:before="0" w:after="0" w:line="360" w:lineRule="auto"/>
      <w:ind w:left="720" w:hanging="720"/>
      <w:jc w:val="left"/>
    </w:pPr>
    <w:rPr>
      <w:rFonts w:eastAsia="黑体"/>
      <w:b w:val="0"/>
      <w:bCs w:val="0"/>
    </w:rPr>
  </w:style>
  <w:style w:type="paragraph" w:customStyle="1" w:styleId="888">
    <w:name w:val="别提"/>
    <w:basedOn w:val="7"/>
    <w:qFormat/>
    <w:uiPriority w:val="0"/>
    <w:pPr>
      <w:adjustRightInd w:val="0"/>
      <w:snapToGrid w:val="0"/>
      <w:spacing w:line="360" w:lineRule="auto"/>
      <w:ind w:firstLine="0"/>
      <w:jc w:val="left"/>
      <w:outlineLvl w:val="5"/>
    </w:pPr>
    <w:rPr>
      <w:rFonts w:ascii="宋体" w:hAnsi="宋体" w:eastAsia="仿宋_GB2312"/>
      <w:b/>
      <w:snapToGrid w:val="0"/>
      <w:color w:val="000000"/>
      <w:spacing w:val="-4"/>
      <w:kern w:val="16"/>
      <w:sz w:val="24"/>
    </w:rPr>
  </w:style>
  <w:style w:type="paragraph" w:customStyle="1" w:styleId="889">
    <w:name w:val="样式 标题 1标题yjm1章标题 1标题 1 Charh11st levelSection Headl1feat..."/>
    <w:basedOn w:val="5"/>
    <w:qFormat/>
    <w:uiPriority w:val="0"/>
    <w:pPr>
      <w:keepLines/>
      <w:pageBreakBefore/>
      <w:snapToGrid w:val="0"/>
      <w:spacing w:line="360" w:lineRule="auto"/>
      <w:ind w:left="432" w:hanging="432"/>
    </w:pPr>
    <w:rPr>
      <w:rFonts w:eastAsia="华文新魏"/>
      <w:color w:val="000000"/>
      <w:kern w:val="44"/>
      <w:sz w:val="48"/>
    </w:rPr>
  </w:style>
  <w:style w:type="paragraph" w:customStyle="1" w:styleId="890">
    <w:name w:val="样式 样式 样式 行距: 单倍行距 图案: 清除 (深蓝) + 图案: 清除 (深蓝) + 图案: 清除 (深蓝)"/>
    <w:basedOn w:val="1"/>
    <w:qFormat/>
    <w:uiPriority w:val="0"/>
    <w:pPr>
      <w:adjustRightInd w:val="0"/>
      <w:snapToGrid w:val="0"/>
      <w:ind w:firstLine="480"/>
    </w:pPr>
    <w:rPr>
      <w:sz w:val="24"/>
    </w:rPr>
  </w:style>
  <w:style w:type="paragraph" w:customStyle="1" w:styleId="891">
    <w:name w:val="标题6"/>
    <w:basedOn w:val="11"/>
    <w:qFormat/>
    <w:uiPriority w:val="0"/>
    <w:pPr>
      <w:snapToGrid w:val="0"/>
      <w:spacing w:line="317" w:lineRule="auto"/>
      <w:textAlignment w:val="auto"/>
    </w:pPr>
    <w:rPr>
      <w:b w:val="0"/>
      <w:kern w:val="2"/>
      <w:sz w:val="21"/>
    </w:rPr>
  </w:style>
  <w:style w:type="paragraph" w:customStyle="1" w:styleId="892">
    <w:name w:val="薛村存北"/>
    <w:basedOn w:val="1"/>
    <w:qFormat/>
    <w:uiPriority w:val="0"/>
    <w:pPr>
      <w:tabs>
        <w:tab w:val="left" w:pos="709"/>
      </w:tabs>
      <w:ind w:left="709" w:hanging="709"/>
    </w:pPr>
  </w:style>
  <w:style w:type="paragraph" w:customStyle="1" w:styleId="893">
    <w:name w:val="MTDisplayEquation"/>
    <w:basedOn w:val="416"/>
    <w:qFormat/>
    <w:uiPriority w:val="0"/>
    <w:pPr>
      <w:spacing w:beforeLines="0"/>
      <w:ind w:firstLine="0" w:firstLineChars="0"/>
    </w:pPr>
    <w:rPr>
      <w:rFonts w:cs="Times New Roman"/>
      <w:color w:val="000000"/>
    </w:rPr>
  </w:style>
  <w:style w:type="paragraph" w:customStyle="1" w:styleId="894">
    <w:name w:val="样式 首行缩进:  0.42 厘米"/>
    <w:basedOn w:val="1"/>
    <w:qFormat/>
    <w:uiPriority w:val="0"/>
    <w:pPr>
      <w:adjustRightInd w:val="0"/>
      <w:snapToGrid w:val="0"/>
      <w:spacing w:line="360" w:lineRule="auto"/>
      <w:ind w:firstLine="480" w:firstLineChars="200"/>
      <w:textAlignment w:val="baseline"/>
    </w:pPr>
    <w:rPr>
      <w:kern w:val="0"/>
      <w:sz w:val="24"/>
    </w:rPr>
  </w:style>
  <w:style w:type="paragraph" w:customStyle="1" w:styleId="895">
    <w:name w:val="样式 首行缩进:  0.99 厘米1"/>
    <w:basedOn w:val="1"/>
    <w:qFormat/>
    <w:uiPriority w:val="0"/>
    <w:pPr>
      <w:adjustRightInd w:val="0"/>
      <w:snapToGrid w:val="0"/>
      <w:spacing w:line="360" w:lineRule="auto"/>
      <w:ind w:firstLine="561"/>
    </w:pPr>
    <w:rPr>
      <w:rFonts w:eastAsia="仿宋_GB2312" w:cs="宋体"/>
      <w:sz w:val="28"/>
    </w:rPr>
  </w:style>
  <w:style w:type="paragraph" w:customStyle="1" w:styleId="896">
    <w:name w:val="Char Char Char Char1 Char Char Char Char Char Char Char Char1 Char"/>
    <w:basedOn w:val="1"/>
    <w:qFormat/>
    <w:uiPriority w:val="0"/>
    <w:pPr>
      <w:spacing w:line="360" w:lineRule="auto"/>
      <w:ind w:firstLine="200" w:firstLineChars="200"/>
    </w:pPr>
    <w:rPr>
      <w:rFonts w:cs="宋体"/>
      <w:sz w:val="24"/>
      <w:szCs w:val="24"/>
    </w:rPr>
  </w:style>
  <w:style w:type="paragraph" w:customStyle="1" w:styleId="897">
    <w:name w:val="样式 (西文) Arial (中文) 宋体 五号 居中 首行缩进:  0.74 厘米 段前: 5 磅 段后: 5 磅..."/>
    <w:basedOn w:val="1"/>
    <w:qFormat/>
    <w:uiPriority w:val="0"/>
    <w:pPr>
      <w:spacing w:before="100" w:after="100" w:line="331" w:lineRule="auto"/>
      <w:jc w:val="center"/>
    </w:pPr>
    <w:rPr>
      <w:rFonts w:ascii="Arial" w:hAnsi="Arial" w:cs="宋体"/>
      <w:kern w:val="0"/>
    </w:rPr>
  </w:style>
  <w:style w:type="paragraph" w:customStyle="1" w:styleId="898">
    <w:name w:val="正文（居中）"/>
    <w:basedOn w:val="7"/>
    <w:next w:val="7"/>
    <w:qFormat/>
    <w:uiPriority w:val="0"/>
    <w:pPr>
      <w:spacing w:beforeLines="25" w:afterLines="25" w:line="360" w:lineRule="auto"/>
      <w:ind w:firstLine="0"/>
      <w:jc w:val="center"/>
    </w:pPr>
    <w:rPr>
      <w:rFonts w:ascii="宋体" w:hAnsi="宋体" w:eastAsia="仿宋_GB2312"/>
      <w:snapToGrid w:val="0"/>
      <w:spacing w:val="-4"/>
      <w:sz w:val="28"/>
      <w:szCs w:val="24"/>
    </w:rPr>
  </w:style>
  <w:style w:type="paragraph" w:customStyle="1" w:styleId="899">
    <w:name w:val="Char5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900">
    <w:name w:val="样式 正文小四缩进2 + 首行缩进:  2 字符"/>
    <w:basedOn w:val="1"/>
    <w:qFormat/>
    <w:uiPriority w:val="0"/>
    <w:pPr>
      <w:adjustRightInd w:val="0"/>
      <w:snapToGrid w:val="0"/>
      <w:spacing w:line="360" w:lineRule="auto"/>
      <w:ind w:firstLine="200" w:firstLineChars="200"/>
    </w:pPr>
    <w:rPr>
      <w:rFonts w:ascii="宋体" w:hAnsi="宋体" w:cs="宋体"/>
      <w:snapToGrid w:val="0"/>
      <w:color w:val="000000"/>
      <w:kern w:val="16"/>
      <w:sz w:val="24"/>
    </w:rPr>
  </w:style>
  <w:style w:type="paragraph" w:customStyle="1" w:styleId="901">
    <w:name w:val="样式 首行缩进:  2 字符3"/>
    <w:basedOn w:val="1"/>
    <w:qFormat/>
    <w:uiPriority w:val="0"/>
    <w:pPr>
      <w:adjustRightInd w:val="0"/>
      <w:snapToGrid w:val="0"/>
      <w:spacing w:line="360" w:lineRule="auto"/>
      <w:ind w:firstLine="560" w:firstLineChars="200"/>
    </w:pPr>
    <w:rPr>
      <w:rFonts w:cs="宋体"/>
      <w:sz w:val="24"/>
    </w:rPr>
  </w:style>
  <w:style w:type="paragraph" w:customStyle="1" w:styleId="902">
    <w:name w:val="正文+单倍行距"/>
    <w:basedOn w:val="397"/>
    <w:link w:val="1069"/>
    <w:qFormat/>
    <w:uiPriority w:val="0"/>
    <w:pPr>
      <w:autoSpaceDE w:val="0"/>
      <w:autoSpaceDN w:val="0"/>
      <w:adjustRightInd w:val="0"/>
      <w:snapToGrid w:val="0"/>
      <w:spacing w:before="0" w:beforeAutospacing="0" w:after="0" w:afterAutospacing="0" w:line="360" w:lineRule="auto"/>
      <w:ind w:firstLine="0" w:firstLineChars="0"/>
      <w:jc w:val="center"/>
      <w:textAlignment w:val="bottom"/>
    </w:pPr>
    <w:rPr>
      <w:rFonts w:cs="Arial"/>
      <w:color w:val="auto"/>
      <w:kern w:val="0"/>
      <w:szCs w:val="28"/>
    </w:rPr>
  </w:style>
  <w:style w:type="paragraph" w:customStyle="1" w:styleId="903">
    <w:name w:val="样式 标题 4款标题1.1.1.1目款标题L4条标题1.1.1.1标题1.1.1.1H4BSH-4W4废1..."/>
    <w:basedOn w:val="9"/>
    <w:link w:val="1074"/>
    <w:qFormat/>
    <w:uiPriority w:val="0"/>
    <w:pPr>
      <w:keepLines/>
      <w:tabs>
        <w:tab w:val="left" w:pos="0"/>
      </w:tabs>
      <w:adjustRightInd w:val="0"/>
      <w:snapToGrid w:val="0"/>
      <w:spacing w:beforeLines="30" w:line="360" w:lineRule="auto"/>
      <w:ind w:left="864" w:hanging="864"/>
      <w:jc w:val="left"/>
    </w:pPr>
    <w:rPr>
      <w:rFonts w:ascii="Arial" w:hAnsi="Arial" w:eastAsia="黑体" w:cs="宋体"/>
      <w:b w:val="0"/>
      <w:color w:val="000000"/>
      <w:sz w:val="30"/>
      <w:szCs w:val="20"/>
    </w:rPr>
  </w:style>
  <w:style w:type="paragraph" w:customStyle="1" w:styleId="904">
    <w:name w:val="正文 + 首行缩进:  2 字符"/>
    <w:basedOn w:val="410"/>
    <w:link w:val="1070"/>
    <w:qFormat/>
    <w:uiPriority w:val="0"/>
    <w:pPr>
      <w:tabs>
        <w:tab w:val="left" w:pos="2940"/>
      </w:tabs>
      <w:spacing w:line="360" w:lineRule="auto"/>
      <w:ind w:firstLine="480"/>
    </w:pPr>
    <w:rPr>
      <w:rFonts w:ascii="宋体" w:hAnsi="宋体"/>
      <w:sz w:val="24"/>
      <w:szCs w:val="20"/>
    </w:rPr>
  </w:style>
  <w:style w:type="paragraph" w:customStyle="1" w:styleId="905">
    <w:name w:val="样式 标题 4款标题1.1.1.1 + 段前: 0.2 行 段后: 0.3 行2"/>
    <w:basedOn w:val="1"/>
    <w:qFormat/>
    <w:uiPriority w:val="0"/>
    <w:pPr>
      <w:keepNext/>
      <w:keepLines/>
      <w:tabs>
        <w:tab w:val="left" w:pos="1284"/>
      </w:tabs>
      <w:adjustRightInd w:val="0"/>
      <w:snapToGrid w:val="0"/>
      <w:spacing w:beforeLines="20" w:afterLines="30" w:line="360" w:lineRule="auto"/>
      <w:jc w:val="left"/>
      <w:outlineLvl w:val="3"/>
    </w:pPr>
    <w:rPr>
      <w:rFonts w:ascii="Arial" w:hAnsi="Arial" w:eastAsia="黑体" w:cs="宋体"/>
      <w:sz w:val="28"/>
    </w:rPr>
  </w:style>
  <w:style w:type="paragraph" w:customStyle="1" w:styleId="906">
    <w:name w:val="样式 标题 3条标题1.1.13h33rd levelH3l3CT1.1.1段标题 3 Char2 Char..."/>
    <w:basedOn w:val="8"/>
    <w:qFormat/>
    <w:uiPriority w:val="0"/>
    <w:pPr>
      <w:tabs>
        <w:tab w:val="left" w:pos="0"/>
        <w:tab w:val="left" w:pos="930"/>
      </w:tabs>
      <w:adjustRightInd w:val="0"/>
      <w:snapToGrid w:val="0"/>
      <w:spacing w:before="0" w:after="0" w:line="360" w:lineRule="auto"/>
      <w:ind w:left="930" w:hanging="720"/>
      <w:jc w:val="left"/>
    </w:pPr>
    <w:rPr>
      <w:rFonts w:eastAsia="黑体" w:cs="宋体"/>
      <w:bCs w:val="0"/>
    </w:rPr>
  </w:style>
  <w:style w:type="paragraph" w:customStyle="1" w:styleId="907">
    <w:name w:val="字母编号列项（一级）"/>
    <w:link w:val="1072"/>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908">
    <w:name w:val="1 Char Char Char Char"/>
    <w:basedOn w:val="1"/>
    <w:qFormat/>
    <w:uiPriority w:val="0"/>
    <w:rPr>
      <w:szCs w:val="24"/>
    </w:rPr>
  </w:style>
  <w:style w:type="paragraph" w:customStyle="1" w:styleId="909">
    <w:name w:val="样式 标题 4款标题1.1.1.1目款标题L4条标题1.1.1.1标题1.1.1.1H4BSH-4W4废1...1"/>
    <w:basedOn w:val="9"/>
    <w:qFormat/>
    <w:uiPriority w:val="0"/>
    <w:pPr>
      <w:keepLines/>
      <w:tabs>
        <w:tab w:val="left" w:pos="0"/>
      </w:tabs>
      <w:adjustRightInd w:val="0"/>
      <w:snapToGrid w:val="0"/>
      <w:spacing w:beforeLines="30" w:line="360" w:lineRule="auto"/>
      <w:ind w:left="864" w:hanging="864"/>
      <w:jc w:val="left"/>
    </w:pPr>
    <w:rPr>
      <w:rFonts w:eastAsia="黑体" w:cs="宋体"/>
      <w:b w:val="0"/>
      <w:color w:val="auto"/>
      <w:sz w:val="28"/>
      <w:szCs w:val="28"/>
    </w:rPr>
  </w:style>
  <w:style w:type="paragraph" w:customStyle="1" w:styleId="910">
    <w:name w:val="样式 表格文字 +"/>
    <w:basedOn w:val="174"/>
    <w:qFormat/>
    <w:uiPriority w:val="0"/>
    <w:pPr>
      <w:tabs>
        <w:tab w:val="clear" w:pos="-2848"/>
      </w:tabs>
      <w:spacing w:line="420" w:lineRule="exact"/>
      <w:textAlignment w:val="center"/>
    </w:pPr>
    <w:rPr>
      <w:rFonts w:ascii="Times New Roman" w:hAnsi="Times New Roman" w:cs="Times New Roman"/>
      <w:kern w:val="0"/>
      <w:position w:val="0"/>
      <w:szCs w:val="21"/>
    </w:rPr>
  </w:style>
  <w:style w:type="paragraph" w:customStyle="1" w:styleId="911">
    <w:name w:val="Char1 Char Char Char Char Char Char"/>
    <w:basedOn w:val="1"/>
    <w:qFormat/>
    <w:uiPriority w:val="0"/>
    <w:rPr>
      <w:szCs w:val="24"/>
    </w:rPr>
  </w:style>
  <w:style w:type="paragraph" w:customStyle="1" w:styleId="912">
    <w:name w:val="Char2 Char Char Char Char Char Char Char Char1 Char"/>
    <w:basedOn w:val="1"/>
    <w:qFormat/>
    <w:uiPriority w:val="0"/>
    <w:pPr>
      <w:widowControl/>
      <w:spacing w:line="360" w:lineRule="auto"/>
    </w:pPr>
    <w:rPr>
      <w:rFonts w:ascii="宋体" w:hAnsi="宋体" w:cs="Courier New"/>
      <w:sz w:val="32"/>
      <w:szCs w:val="32"/>
    </w:rPr>
  </w:style>
  <w:style w:type="paragraph" w:customStyle="1" w:styleId="913">
    <w:name w:val="e"/>
    <w:basedOn w:val="1"/>
    <w:qFormat/>
    <w:uiPriority w:val="0"/>
    <w:rPr>
      <w:szCs w:val="24"/>
    </w:rPr>
  </w:style>
  <w:style w:type="paragraph" w:customStyle="1" w:styleId="914">
    <w:name w:val="样式13"/>
    <w:basedOn w:val="5"/>
    <w:semiHidden/>
    <w:qFormat/>
    <w:uiPriority w:val="0"/>
    <w:pPr>
      <w:keepLines/>
      <w:pageBreakBefore/>
      <w:tabs>
        <w:tab w:val="left" w:pos="432"/>
      </w:tabs>
      <w:snapToGrid w:val="0"/>
      <w:spacing w:before="240" w:after="240" w:line="360" w:lineRule="auto"/>
      <w:ind w:left="432" w:firstLine="200" w:firstLineChars="200"/>
    </w:pPr>
    <w:rPr>
      <w:rFonts w:eastAsia="华文新魏"/>
      <w:kern w:val="44"/>
      <w:sz w:val="48"/>
    </w:rPr>
  </w:style>
  <w:style w:type="paragraph" w:customStyle="1" w:styleId="915">
    <w:name w:val="样式 (中文) 仿宋_GB2312 四号 行距: 固定值 26 磅"/>
    <w:basedOn w:val="1"/>
    <w:qFormat/>
    <w:uiPriority w:val="0"/>
    <w:pPr>
      <w:spacing w:line="520" w:lineRule="exact"/>
      <w:ind w:firstLine="560" w:firstLineChars="200"/>
    </w:pPr>
    <w:rPr>
      <w:rFonts w:cs="宋体"/>
      <w:sz w:val="24"/>
    </w:rPr>
  </w:style>
  <w:style w:type="paragraph" w:customStyle="1" w:styleId="916">
    <w:name w:val="样式 标题 2标题 1.1节标题 1.1标题 yjm2第一章 标题 2Heading 2 HiddenHeading...1"/>
    <w:basedOn w:val="6"/>
    <w:qFormat/>
    <w:uiPriority w:val="0"/>
    <w:pPr>
      <w:tabs>
        <w:tab w:val="left" w:pos="432"/>
      </w:tabs>
      <w:adjustRightInd w:val="0"/>
      <w:snapToGrid w:val="0"/>
      <w:spacing w:beforeLines="50" w:line="360" w:lineRule="auto"/>
      <w:jc w:val="left"/>
    </w:pPr>
    <w:rPr>
      <w:rFonts w:ascii="Arial" w:hAnsi="宋体" w:eastAsia="黑体" w:cs="宋体"/>
      <w:sz w:val="32"/>
    </w:rPr>
  </w:style>
  <w:style w:type="paragraph" w:customStyle="1" w:styleId="917">
    <w:name w:val="样式 标题 3条标题1.1.13h33rd levelH3l3CT1.1.1段物探标题3 Char Char..."/>
    <w:basedOn w:val="8"/>
    <w:qFormat/>
    <w:uiPriority w:val="0"/>
    <w:pPr>
      <w:tabs>
        <w:tab w:val="left" w:pos="0"/>
      </w:tabs>
      <w:adjustRightInd w:val="0"/>
      <w:snapToGrid w:val="0"/>
      <w:spacing w:before="0" w:after="0" w:line="360" w:lineRule="auto"/>
      <w:ind w:left="720" w:hanging="720"/>
      <w:jc w:val="left"/>
    </w:pPr>
    <w:rPr>
      <w:rFonts w:eastAsia="黑体" w:cs="宋体"/>
      <w:bCs w:val="0"/>
    </w:rPr>
  </w:style>
  <w:style w:type="paragraph" w:customStyle="1" w:styleId="918">
    <w:name w:val="样式 标题 3条标题1.1.13h33rd levelH3l3CT1.1.1段物探标题3 Char Char...1"/>
    <w:basedOn w:val="8"/>
    <w:qFormat/>
    <w:uiPriority w:val="0"/>
    <w:pPr>
      <w:tabs>
        <w:tab w:val="left" w:pos="0"/>
      </w:tabs>
      <w:adjustRightInd w:val="0"/>
      <w:snapToGrid w:val="0"/>
      <w:spacing w:before="0" w:after="0" w:line="360" w:lineRule="auto"/>
      <w:ind w:left="720" w:hanging="720"/>
      <w:jc w:val="left"/>
    </w:pPr>
    <w:rPr>
      <w:rFonts w:eastAsia="黑体" w:cs="宋体"/>
      <w:bCs w:val="0"/>
      <w:color w:val="FF0000"/>
    </w:rPr>
  </w:style>
  <w:style w:type="paragraph" w:customStyle="1" w:styleId="919">
    <w:name w:val="样式 样式 标题 3条标题1.1.13h33rd levelH3l3CT段物探标题3 Char Char Char ... + ...1"/>
    <w:basedOn w:val="769"/>
    <w:qFormat/>
    <w:uiPriority w:val="0"/>
    <w:pPr>
      <w:widowControl w:val="0"/>
      <w:tabs>
        <w:tab w:val="left" w:pos="0"/>
        <w:tab w:val="clear" w:pos="432"/>
        <w:tab w:val="clear" w:pos="720"/>
      </w:tabs>
      <w:ind w:left="0" w:firstLine="0"/>
    </w:pPr>
    <w:rPr>
      <w:rFonts w:eastAsia="黑体"/>
      <w:kern w:val="2"/>
      <w:szCs w:val="32"/>
    </w:rPr>
  </w:style>
  <w:style w:type="paragraph" w:customStyle="1" w:styleId="920">
    <w:name w:val="样式 标题 3条标题1.1.13h33rd levelH3l3CT1.1.1段物探标题3 Char Char...2"/>
    <w:basedOn w:val="8"/>
    <w:qFormat/>
    <w:uiPriority w:val="0"/>
    <w:pPr>
      <w:tabs>
        <w:tab w:val="left" w:pos="0"/>
      </w:tabs>
      <w:adjustRightInd w:val="0"/>
      <w:snapToGrid w:val="0"/>
      <w:spacing w:before="0" w:after="0" w:line="360" w:lineRule="auto"/>
      <w:ind w:left="720" w:hanging="720"/>
      <w:jc w:val="left"/>
    </w:pPr>
    <w:rPr>
      <w:rFonts w:eastAsia="黑体"/>
    </w:rPr>
  </w:style>
  <w:style w:type="paragraph" w:customStyle="1" w:styleId="921">
    <w:name w:val="样式 样式 标题 3条标题1.1.13h33rd levelH3l3CT段物探标题3 Char Char Char ... + ...2"/>
    <w:basedOn w:val="769"/>
    <w:qFormat/>
    <w:uiPriority w:val="0"/>
    <w:pPr>
      <w:widowControl w:val="0"/>
      <w:tabs>
        <w:tab w:val="left" w:pos="0"/>
        <w:tab w:val="clear" w:pos="432"/>
        <w:tab w:val="clear" w:pos="720"/>
      </w:tabs>
      <w:ind w:left="0" w:firstLine="0"/>
    </w:pPr>
    <w:rPr>
      <w:rFonts w:eastAsia="黑体" w:cs="Times New Roman"/>
      <w:bCs w:val="0"/>
      <w:kern w:val="2"/>
      <w:szCs w:val="32"/>
    </w:rPr>
  </w:style>
  <w:style w:type="paragraph" w:customStyle="1" w:styleId="922">
    <w:name w:val="xl131"/>
    <w:basedOn w:val="1"/>
    <w:qFormat/>
    <w:uiPriority w:val="0"/>
    <w:pPr>
      <w:widowControl/>
      <w:pBdr>
        <w:top w:val="single" w:color="auto" w:sz="4" w:space="0"/>
        <w:right w:val="single" w:color="auto" w:sz="4" w:space="0"/>
      </w:pBdr>
      <w:spacing w:before="100" w:beforeAutospacing="1" w:after="100" w:afterAutospacing="1"/>
      <w:jc w:val="center"/>
      <w:textAlignment w:val="bottom"/>
    </w:pPr>
    <w:rPr>
      <w:kern w:val="0"/>
      <w:sz w:val="20"/>
    </w:rPr>
  </w:style>
  <w:style w:type="paragraph" w:customStyle="1" w:styleId="923">
    <w:name w:val="xl122"/>
    <w:basedOn w:val="1"/>
    <w:qFormat/>
    <w:uiPriority w:val="0"/>
    <w:pPr>
      <w:widowControl/>
      <w:pBdr>
        <w:left w:val="single" w:color="auto" w:sz="4" w:space="0"/>
      </w:pBdr>
      <w:spacing w:before="100" w:beforeAutospacing="1" w:after="100" w:afterAutospacing="1"/>
      <w:jc w:val="center"/>
      <w:textAlignment w:val="bottom"/>
    </w:pPr>
    <w:rPr>
      <w:kern w:val="0"/>
      <w:sz w:val="20"/>
    </w:rPr>
  </w:style>
  <w:style w:type="paragraph" w:customStyle="1" w:styleId="924">
    <w:name w:val="样式 标题 4款标题1.1.1.1目款标题L4条标题1.1.1.1标题1.1.1.1H4BSH-4W4h4..."/>
    <w:basedOn w:val="9"/>
    <w:qFormat/>
    <w:uiPriority w:val="0"/>
    <w:pPr>
      <w:keepLines/>
      <w:tabs>
        <w:tab w:val="left" w:pos="851"/>
      </w:tabs>
      <w:adjustRightInd w:val="0"/>
      <w:snapToGrid w:val="0"/>
      <w:spacing w:beforeLines="30" w:line="360" w:lineRule="auto"/>
      <w:ind w:left="851" w:hanging="851"/>
      <w:jc w:val="left"/>
    </w:pPr>
    <w:rPr>
      <w:rFonts w:ascii="Arial" w:hAnsi="Arial" w:eastAsia="黑体" w:cs="宋体"/>
      <w:b w:val="0"/>
      <w:color w:val="auto"/>
      <w:sz w:val="30"/>
      <w:szCs w:val="20"/>
    </w:rPr>
  </w:style>
  <w:style w:type="paragraph" w:customStyle="1" w:styleId="925">
    <w:name w:val="Char Char1 Char Char Char Char Char Char Char Char Char Char Char Char Char Char Char Char Char Char Char Char1 Char"/>
    <w:basedOn w:val="1"/>
    <w:qFormat/>
    <w:uiPriority w:val="0"/>
    <w:pPr>
      <w:spacing w:line="360" w:lineRule="auto"/>
      <w:ind w:firstLine="200" w:firstLineChars="200"/>
    </w:pPr>
    <w:rPr>
      <w:rFonts w:ascii="宋体" w:hAnsi="宋体" w:cs="宋体"/>
      <w:sz w:val="24"/>
      <w:szCs w:val="24"/>
    </w:rPr>
  </w:style>
  <w:style w:type="paragraph" w:customStyle="1" w:styleId="926">
    <w:name w:val="Char8 Char Char Char"/>
    <w:basedOn w:val="1"/>
    <w:qFormat/>
    <w:uiPriority w:val="0"/>
    <w:pPr>
      <w:spacing w:line="360" w:lineRule="auto"/>
    </w:pPr>
    <w:rPr>
      <w:rFonts w:ascii="宋体" w:hAnsi="宋体" w:cs="宋体"/>
      <w:sz w:val="24"/>
      <w:szCs w:val="24"/>
    </w:rPr>
  </w:style>
  <w:style w:type="paragraph" w:customStyle="1" w:styleId="927">
    <w:name w:val="标题 3条标题1.1.1"/>
    <w:basedOn w:val="8"/>
    <w:qFormat/>
    <w:uiPriority w:val="0"/>
    <w:pPr>
      <w:tabs>
        <w:tab w:val="left" w:pos="432"/>
        <w:tab w:val="left" w:pos="720"/>
      </w:tabs>
      <w:adjustRightInd w:val="0"/>
      <w:snapToGrid w:val="0"/>
      <w:spacing w:beforeLines="30" w:after="0" w:line="360" w:lineRule="auto"/>
      <w:ind w:left="720" w:hanging="720"/>
      <w:jc w:val="left"/>
    </w:pPr>
    <w:rPr>
      <w:rFonts w:eastAsia="黑体" w:cs="宋体"/>
      <w:b w:val="0"/>
      <w:bCs w:val="0"/>
      <w:snapToGrid w:val="0"/>
      <w:szCs w:val="20"/>
    </w:rPr>
  </w:style>
  <w:style w:type="paragraph" w:customStyle="1" w:styleId="928">
    <w:name w:val="报告书正文"/>
    <w:basedOn w:val="1"/>
    <w:qFormat/>
    <w:uiPriority w:val="0"/>
    <w:pPr>
      <w:spacing w:line="360" w:lineRule="auto"/>
      <w:ind w:firstLine="200" w:firstLineChars="200"/>
    </w:pPr>
    <w:rPr>
      <w:sz w:val="24"/>
      <w:szCs w:val="58"/>
    </w:rPr>
  </w:style>
  <w:style w:type="paragraph" w:customStyle="1" w:styleId="929">
    <w:name w:val="Char Char51"/>
    <w:basedOn w:val="1"/>
    <w:qFormat/>
    <w:uiPriority w:val="0"/>
    <w:pPr>
      <w:spacing w:line="360" w:lineRule="auto"/>
      <w:ind w:firstLine="200" w:firstLineChars="200"/>
    </w:pPr>
    <w:rPr>
      <w:rFonts w:ascii="宋体" w:hAnsi="宋体" w:cs="宋体"/>
      <w:sz w:val="24"/>
      <w:szCs w:val="24"/>
    </w:rPr>
  </w:style>
  <w:style w:type="paragraph" w:customStyle="1" w:styleId="930">
    <w:name w:val="样式 标题 4款标题1.1.1.1目款标题L4条标题1.1.1.1标题1.1.1.1H4BSH-4W4废1...2 + (中文)..."/>
    <w:basedOn w:val="820"/>
    <w:qFormat/>
    <w:uiPriority w:val="0"/>
    <w:rPr>
      <w:rFonts w:ascii="Times New Roman" w:hAnsi="Times New Roman" w:eastAsia="宋体"/>
    </w:rPr>
  </w:style>
  <w:style w:type="paragraph" w:customStyle="1" w:styleId="931">
    <w:name w:val="表格体"/>
    <w:basedOn w:val="1"/>
    <w:qFormat/>
    <w:uiPriority w:val="0"/>
    <w:pPr>
      <w:adjustRightInd w:val="0"/>
      <w:snapToGrid w:val="0"/>
      <w:jc w:val="center"/>
    </w:pPr>
    <w:rPr>
      <w:bCs/>
      <w:szCs w:val="24"/>
    </w:rPr>
  </w:style>
  <w:style w:type="paragraph" w:customStyle="1" w:styleId="932">
    <w:name w:val="表格文字 + Times New Roman"/>
    <w:basedOn w:val="1"/>
    <w:link w:val="1083"/>
    <w:qFormat/>
    <w:uiPriority w:val="0"/>
    <w:pPr>
      <w:tabs>
        <w:tab w:val="left" w:pos="3720"/>
      </w:tabs>
      <w:autoSpaceDE w:val="0"/>
      <w:autoSpaceDN w:val="0"/>
      <w:adjustRightInd w:val="0"/>
      <w:snapToGrid w:val="0"/>
      <w:jc w:val="center"/>
      <w:textAlignment w:val="bottom"/>
    </w:pPr>
    <w:rPr>
      <w:kern w:val="0"/>
      <w:sz w:val="20"/>
    </w:rPr>
  </w:style>
  <w:style w:type="paragraph" w:customStyle="1" w:styleId="933">
    <w:name w:val="正文文本最新 Char Char Char Char1 Char"/>
    <w:basedOn w:val="1"/>
    <w:link w:val="1084"/>
    <w:qFormat/>
    <w:uiPriority w:val="0"/>
    <w:pPr>
      <w:adjustRightInd w:val="0"/>
      <w:snapToGrid w:val="0"/>
      <w:spacing w:line="360" w:lineRule="auto"/>
      <w:ind w:firstLine="200" w:firstLineChars="200"/>
    </w:pPr>
    <w:rPr>
      <w:bCs/>
      <w:sz w:val="28"/>
      <w:szCs w:val="24"/>
    </w:rPr>
  </w:style>
  <w:style w:type="paragraph" w:customStyle="1" w:styleId="934">
    <w:name w:val="正文宋体小四"/>
    <w:link w:val="1086"/>
    <w:qFormat/>
    <w:uiPriority w:val="0"/>
    <w:pPr>
      <w:tabs>
        <w:tab w:val="left" w:pos="6840"/>
      </w:tabs>
      <w:spacing w:line="360" w:lineRule="auto"/>
      <w:ind w:firstLine="480" w:firstLineChars="200"/>
      <w:jc w:val="both"/>
    </w:pPr>
    <w:rPr>
      <w:rFonts w:ascii="Times New Roman" w:hAnsi="Times New Roman" w:eastAsia="Times New Roman" w:cs="幼圆"/>
      <w:sz w:val="24"/>
      <w:szCs w:val="28"/>
      <w:lang w:val="en-US" w:eastAsia="zh-CN" w:bidi="ar-SA"/>
    </w:rPr>
  </w:style>
  <w:style w:type="paragraph" w:customStyle="1" w:styleId="935">
    <w:name w:val="样式 标题 4款标题1.1.1.1目款标题L4条标题1.1.1.1标题1.1.1.1H4BSH-4W4h4...1"/>
    <w:basedOn w:val="9"/>
    <w:qFormat/>
    <w:uiPriority w:val="0"/>
    <w:pPr>
      <w:keepLines/>
      <w:tabs>
        <w:tab w:val="left" w:pos="432"/>
      </w:tabs>
      <w:adjustRightInd w:val="0"/>
      <w:snapToGrid w:val="0"/>
      <w:spacing w:beforeLines="30" w:line="360" w:lineRule="auto"/>
      <w:ind w:left="864" w:hanging="864"/>
      <w:jc w:val="left"/>
    </w:pPr>
    <w:rPr>
      <w:rFonts w:ascii="Arial" w:hAnsi="Arial" w:eastAsia="黑体" w:cs="宋体"/>
      <w:b w:val="0"/>
      <w:color w:val="auto"/>
      <w:sz w:val="30"/>
      <w:szCs w:val="20"/>
    </w:rPr>
  </w:style>
  <w:style w:type="paragraph" w:customStyle="1" w:styleId="936">
    <w:name w:val="6"/>
    <w:basedOn w:val="1"/>
    <w:qFormat/>
    <w:uiPriority w:val="0"/>
  </w:style>
  <w:style w:type="paragraph" w:customStyle="1" w:styleId="937">
    <w:name w:val="图标名称"/>
    <w:basedOn w:val="1"/>
    <w:next w:val="928"/>
    <w:qFormat/>
    <w:uiPriority w:val="0"/>
    <w:pPr>
      <w:spacing w:line="360" w:lineRule="auto"/>
      <w:jc w:val="center"/>
    </w:pPr>
    <w:rPr>
      <w:rFonts w:ascii="宋体" w:hAnsi="宋体" w:eastAsia="黑体"/>
      <w:sz w:val="24"/>
      <w:szCs w:val="58"/>
    </w:rPr>
  </w:style>
  <w:style w:type="paragraph" w:customStyle="1" w:styleId="938">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39">
    <w:name w:val="Char21"/>
    <w:basedOn w:val="1"/>
    <w:qFormat/>
    <w:uiPriority w:val="0"/>
    <w:pPr>
      <w:widowControl/>
      <w:spacing w:line="360" w:lineRule="auto"/>
      <w:ind w:firstLine="200" w:firstLineChars="200"/>
      <w:jc w:val="left"/>
    </w:pPr>
    <w:rPr>
      <w:rFonts w:ascii="宋体" w:hAnsi="宋体" w:cs="宋体"/>
      <w:kern w:val="0"/>
      <w:sz w:val="24"/>
      <w:szCs w:val="24"/>
    </w:rPr>
  </w:style>
  <w:style w:type="paragraph" w:customStyle="1" w:styleId="940">
    <w:name w:val="Char Char Char1 Char"/>
    <w:basedOn w:val="1"/>
    <w:qFormat/>
    <w:uiPriority w:val="0"/>
    <w:rPr>
      <w:sz w:val="24"/>
      <w:szCs w:val="24"/>
    </w:rPr>
  </w:style>
  <w:style w:type="paragraph" w:customStyle="1" w:styleId="941">
    <w:name w:val="已访问的超级链接"/>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42">
    <w:name w:val="temp"/>
    <w:basedOn w:val="1"/>
    <w:qFormat/>
    <w:uiPriority w:val="0"/>
    <w:pPr>
      <w:adjustRightInd w:val="0"/>
      <w:spacing w:line="460" w:lineRule="atLeast"/>
    </w:pPr>
    <w:rPr>
      <w:kern w:val="0"/>
      <w:sz w:val="24"/>
    </w:rPr>
  </w:style>
  <w:style w:type="paragraph" w:customStyle="1" w:styleId="943">
    <w:name w:val="表格字体"/>
    <w:basedOn w:val="1"/>
    <w:qFormat/>
    <w:uiPriority w:val="0"/>
    <w:pPr>
      <w:spacing w:line="400" w:lineRule="exact"/>
      <w:jc w:val="center"/>
    </w:pPr>
    <w:rPr>
      <w:rFonts w:ascii="仿宋_GB2312" w:eastAsia="仿宋_GB2312"/>
      <w:spacing w:val="2"/>
    </w:rPr>
  </w:style>
  <w:style w:type="paragraph" w:customStyle="1" w:styleId="944">
    <w:name w:val="样式 标题 1章标题 1h11st levelSection Headl1-*+ + 小四"/>
    <w:basedOn w:val="5"/>
    <w:link w:val="1091"/>
    <w:qFormat/>
    <w:uiPriority w:val="0"/>
    <w:pPr>
      <w:keepLines/>
      <w:pageBreakBefore/>
      <w:widowControl/>
      <w:tabs>
        <w:tab w:val="left" w:pos="432"/>
      </w:tabs>
      <w:spacing w:line="360" w:lineRule="auto"/>
      <w:jc w:val="left"/>
    </w:pPr>
    <w:rPr>
      <w:b/>
      <w:bCs/>
      <w:kern w:val="44"/>
      <w:sz w:val="28"/>
      <w:szCs w:val="28"/>
    </w:rPr>
  </w:style>
  <w:style w:type="paragraph" w:customStyle="1" w:styleId="945">
    <w:name w:val="样式 标题 1章标题 1h11st levelSection Headl1-*+ + 四号 非加粗"/>
    <w:basedOn w:val="5"/>
    <w:qFormat/>
    <w:uiPriority w:val="0"/>
    <w:pPr>
      <w:keepLines/>
      <w:pageBreakBefore/>
      <w:widowControl/>
      <w:tabs>
        <w:tab w:val="left" w:pos="432"/>
      </w:tabs>
      <w:spacing w:line="360" w:lineRule="auto"/>
      <w:jc w:val="left"/>
    </w:pPr>
    <w:rPr>
      <w:b/>
      <w:kern w:val="44"/>
      <w:sz w:val="28"/>
      <w:szCs w:val="28"/>
    </w:rPr>
  </w:style>
  <w:style w:type="paragraph" w:customStyle="1" w:styleId="946">
    <w:name w:val="样式 标题 2节标题 1.11.1标题2 + 四号 非加粗"/>
    <w:basedOn w:val="6"/>
    <w:link w:val="1092"/>
    <w:qFormat/>
    <w:uiPriority w:val="0"/>
    <w:pPr>
      <w:widowControl/>
      <w:tabs>
        <w:tab w:val="left" w:pos="720"/>
      </w:tabs>
      <w:adjustRightInd w:val="0"/>
      <w:spacing w:line="460" w:lineRule="exact"/>
      <w:ind w:left="720" w:hanging="720"/>
      <w:jc w:val="left"/>
      <w:textAlignment w:val="baseline"/>
    </w:pPr>
    <w:rPr>
      <w:b/>
      <w:kern w:val="44"/>
      <w:sz w:val="28"/>
    </w:rPr>
  </w:style>
  <w:style w:type="paragraph" w:customStyle="1" w:styleId="947">
    <w:name w:val="表格正文"/>
    <w:basedOn w:val="1"/>
    <w:qFormat/>
    <w:uiPriority w:val="0"/>
    <w:pPr>
      <w:adjustRightInd w:val="0"/>
      <w:spacing w:line="460" w:lineRule="exact"/>
      <w:jc w:val="left"/>
      <w:textAlignment w:val="baseline"/>
    </w:pPr>
    <w:rPr>
      <w:kern w:val="0"/>
      <w:sz w:val="24"/>
    </w:rPr>
  </w:style>
  <w:style w:type="paragraph" w:customStyle="1" w:styleId="948">
    <w:name w:val="默认段落字体 Para Char Char Char Char Char Char Char Char Char1 Char Char Char Char"/>
    <w:basedOn w:val="1"/>
    <w:qFormat/>
    <w:uiPriority w:val="0"/>
    <w:rPr>
      <w:szCs w:val="24"/>
    </w:rPr>
  </w:style>
  <w:style w:type="paragraph" w:customStyle="1" w:styleId="949">
    <w:name w:val="样式 标题 2节标题 1.11.1标题2b2 + 行距: 固定值 23 磅"/>
    <w:basedOn w:val="6"/>
    <w:qFormat/>
    <w:uiPriority w:val="0"/>
    <w:pPr>
      <w:keepLines/>
      <w:widowControl/>
      <w:tabs>
        <w:tab w:val="left" w:pos="432"/>
        <w:tab w:val="left" w:pos="576"/>
      </w:tabs>
      <w:spacing w:line="460" w:lineRule="exact"/>
      <w:jc w:val="left"/>
    </w:pPr>
    <w:rPr>
      <w:rFonts w:cs="宋体"/>
      <w:kern w:val="0"/>
      <w:sz w:val="28"/>
      <w:szCs w:val="28"/>
    </w:rPr>
  </w:style>
  <w:style w:type="paragraph" w:customStyle="1" w:styleId="950">
    <w:name w:val="项目"/>
    <w:basedOn w:val="1"/>
    <w:qFormat/>
    <w:uiPriority w:val="0"/>
    <w:pPr>
      <w:adjustRightInd w:val="0"/>
      <w:spacing w:line="460" w:lineRule="exact"/>
      <w:jc w:val="left"/>
      <w:textAlignment w:val="baseline"/>
    </w:pPr>
    <w:rPr>
      <w:kern w:val="0"/>
      <w:sz w:val="24"/>
    </w:rPr>
  </w:style>
  <w:style w:type="paragraph" w:customStyle="1" w:styleId="951">
    <w:name w:val="列表项目符号3"/>
    <w:basedOn w:val="1"/>
    <w:qFormat/>
    <w:uiPriority w:val="0"/>
    <w:pPr>
      <w:tabs>
        <w:tab w:val="left" w:pos="665"/>
      </w:tabs>
      <w:adjustRightInd w:val="0"/>
      <w:spacing w:line="460" w:lineRule="exact"/>
      <w:ind w:left="665" w:hanging="240"/>
      <w:textAlignment w:val="baseline"/>
    </w:pPr>
    <w:rPr>
      <w:kern w:val="0"/>
      <w:sz w:val="24"/>
    </w:rPr>
  </w:style>
  <w:style w:type="paragraph" w:customStyle="1" w:styleId="952">
    <w:name w:val="正文报告"/>
    <w:basedOn w:val="1"/>
    <w:qFormat/>
    <w:uiPriority w:val="0"/>
    <w:pPr>
      <w:tabs>
        <w:tab w:val="left" w:pos="510"/>
      </w:tabs>
      <w:adjustRightInd w:val="0"/>
      <w:spacing w:line="460" w:lineRule="exact"/>
      <w:ind w:firstLine="482"/>
      <w:textAlignment w:val="baseline"/>
    </w:pPr>
    <w:rPr>
      <w:kern w:val="0"/>
      <w:sz w:val="24"/>
    </w:rPr>
  </w:style>
  <w:style w:type="paragraph" w:customStyle="1" w:styleId="953">
    <w:name w:val="支标题 a)"/>
    <w:basedOn w:val="1"/>
    <w:next w:val="1"/>
    <w:qFormat/>
    <w:uiPriority w:val="0"/>
    <w:pPr>
      <w:numPr>
        <w:ilvl w:val="0"/>
        <w:numId w:val="4"/>
      </w:numPr>
      <w:tabs>
        <w:tab w:val="left" w:pos="510"/>
        <w:tab w:val="left" w:pos="1097"/>
      </w:tabs>
      <w:adjustRightInd w:val="0"/>
      <w:spacing w:before="120" w:after="120" w:line="460" w:lineRule="exact"/>
      <w:ind w:left="284" w:firstLine="453"/>
      <w:jc w:val="left"/>
      <w:textAlignment w:val="baseline"/>
    </w:pPr>
    <w:rPr>
      <w:kern w:val="0"/>
      <w:sz w:val="24"/>
    </w:rPr>
  </w:style>
  <w:style w:type="paragraph" w:customStyle="1" w:styleId="954">
    <w:name w:val="表题"/>
    <w:basedOn w:val="1"/>
    <w:qFormat/>
    <w:uiPriority w:val="0"/>
    <w:pPr>
      <w:spacing w:beforeLines="100" w:line="360" w:lineRule="auto"/>
      <w:jc w:val="center"/>
    </w:pPr>
    <w:rPr>
      <w:rFonts w:ascii="宋体" w:hAnsi="宋体"/>
      <w:b/>
      <w:bCs/>
      <w:kern w:val="0"/>
      <w:sz w:val="24"/>
      <w:szCs w:val="24"/>
    </w:rPr>
  </w:style>
  <w:style w:type="paragraph" w:customStyle="1" w:styleId="955">
    <w:name w:val="附表题"/>
    <w:basedOn w:val="1"/>
    <w:next w:val="1"/>
    <w:qFormat/>
    <w:uiPriority w:val="0"/>
    <w:pPr>
      <w:wordWrap w:val="0"/>
      <w:spacing w:line="240" w:lineRule="atLeast"/>
      <w:ind w:left="-345" w:right="315"/>
      <w:jc w:val="right"/>
    </w:pPr>
    <w:rPr>
      <w:b/>
      <w:kern w:val="0"/>
      <w:sz w:val="24"/>
      <w:szCs w:val="24"/>
    </w:rPr>
  </w:style>
  <w:style w:type="paragraph" w:customStyle="1" w:styleId="956">
    <w:name w:val="表格单位"/>
    <w:basedOn w:val="1"/>
    <w:next w:val="1"/>
    <w:qFormat/>
    <w:uiPriority w:val="0"/>
    <w:pPr>
      <w:wordWrap w:val="0"/>
      <w:ind w:right="480" w:firstLine="480" w:firstLineChars="200"/>
    </w:pPr>
    <w:rPr>
      <w:rFonts w:ascii="宋体" w:hAnsi="宋体"/>
      <w:b/>
      <w:sz w:val="24"/>
      <w:szCs w:val="24"/>
    </w:rPr>
  </w:style>
  <w:style w:type="paragraph" w:customStyle="1" w:styleId="957">
    <w:name w:val="表格注解"/>
    <w:basedOn w:val="1"/>
    <w:next w:val="1"/>
    <w:qFormat/>
    <w:uiPriority w:val="0"/>
    <w:pPr>
      <w:ind w:firstLine="100" w:firstLineChars="100"/>
    </w:pPr>
    <w:rPr>
      <w:rFonts w:ascii="楷体_GB2312" w:eastAsia="楷体_GB2312"/>
      <w:b/>
      <w:sz w:val="24"/>
      <w:szCs w:val="24"/>
    </w:rPr>
  </w:style>
  <w:style w:type="paragraph" w:customStyle="1" w:styleId="958">
    <w:name w:val="样式 宋体 加粗 首行缩进:  2 字符"/>
    <w:basedOn w:val="1"/>
    <w:qFormat/>
    <w:uiPriority w:val="0"/>
    <w:pPr>
      <w:spacing w:line="360" w:lineRule="auto"/>
      <w:ind w:firstLine="200" w:firstLineChars="200"/>
    </w:pPr>
    <w:rPr>
      <w:rFonts w:ascii="宋体" w:hAnsi="宋体"/>
      <w:b/>
      <w:bCs/>
      <w:sz w:val="24"/>
    </w:rPr>
  </w:style>
  <w:style w:type="paragraph" w:customStyle="1" w:styleId="959">
    <w:name w:val="图标"/>
    <w:basedOn w:val="7"/>
    <w:next w:val="1"/>
    <w:qFormat/>
    <w:uiPriority w:val="0"/>
    <w:pPr>
      <w:spacing w:line="480" w:lineRule="exact"/>
      <w:ind w:firstLine="0"/>
      <w:jc w:val="center"/>
    </w:pPr>
    <w:rPr>
      <w:rFonts w:ascii="黑体" w:hAnsi="宋体" w:eastAsia="黑体"/>
      <w:snapToGrid w:val="0"/>
      <w:sz w:val="24"/>
      <w:szCs w:val="24"/>
    </w:rPr>
  </w:style>
  <w:style w:type="paragraph" w:customStyle="1" w:styleId="960">
    <w:name w:val="样式 标题 1 + 段前: 0.5 行"/>
    <w:basedOn w:val="5"/>
    <w:qFormat/>
    <w:uiPriority w:val="0"/>
    <w:pPr>
      <w:keepLines/>
      <w:pageBreakBefore/>
      <w:widowControl/>
      <w:tabs>
        <w:tab w:val="left" w:pos="240"/>
      </w:tabs>
      <w:adjustRightInd w:val="0"/>
      <w:spacing w:beforeLines="50" w:line="360" w:lineRule="auto"/>
      <w:jc w:val="left"/>
      <w:textAlignment w:val="baseline"/>
    </w:pPr>
    <w:rPr>
      <w:rFonts w:cs="宋体"/>
      <w:b/>
      <w:bCs/>
      <w:kern w:val="44"/>
      <w:sz w:val="24"/>
    </w:rPr>
  </w:style>
  <w:style w:type="paragraph" w:customStyle="1" w:styleId="961">
    <w:name w:val="CM4"/>
    <w:basedOn w:val="1"/>
    <w:next w:val="1"/>
    <w:qFormat/>
    <w:uiPriority w:val="0"/>
    <w:pPr>
      <w:autoSpaceDE w:val="0"/>
      <w:autoSpaceDN w:val="0"/>
      <w:adjustRightInd w:val="0"/>
      <w:spacing w:line="540" w:lineRule="atLeast"/>
      <w:jc w:val="left"/>
    </w:pPr>
    <w:rPr>
      <w:rFonts w:ascii="oúì." w:eastAsia="oúì."/>
      <w:kern w:val="0"/>
      <w:sz w:val="24"/>
      <w:szCs w:val="24"/>
    </w:rPr>
  </w:style>
  <w:style w:type="paragraph" w:customStyle="1" w:styleId="962">
    <w:name w:val="正文文本缩进 21"/>
    <w:basedOn w:val="1"/>
    <w:qFormat/>
    <w:uiPriority w:val="0"/>
    <w:pPr>
      <w:adjustRightInd w:val="0"/>
      <w:spacing w:line="460" w:lineRule="exact"/>
      <w:ind w:firstLine="454"/>
      <w:textAlignment w:val="baseline"/>
    </w:pPr>
    <w:rPr>
      <w:kern w:val="0"/>
      <w:sz w:val="24"/>
    </w:rPr>
  </w:style>
  <w:style w:type="paragraph" w:customStyle="1" w:styleId="963">
    <w:name w:val="正文序列"/>
    <w:basedOn w:val="7"/>
    <w:qFormat/>
    <w:uiPriority w:val="0"/>
    <w:pPr>
      <w:tabs>
        <w:tab w:val="left" w:pos="930"/>
      </w:tabs>
      <w:spacing w:line="460" w:lineRule="exact"/>
      <w:ind w:left="930" w:hanging="420"/>
    </w:pPr>
    <w:rPr>
      <w:snapToGrid w:val="0"/>
      <w:sz w:val="24"/>
      <w:szCs w:val="24"/>
    </w:rPr>
  </w:style>
  <w:style w:type="paragraph" w:customStyle="1" w:styleId="964">
    <w:name w:val="正文首行缩进2字"/>
    <w:basedOn w:val="1"/>
    <w:qFormat/>
    <w:uiPriority w:val="0"/>
    <w:pPr>
      <w:spacing w:line="440" w:lineRule="exact"/>
      <w:ind w:firstLine="200" w:firstLineChars="200"/>
    </w:pPr>
    <w:rPr>
      <w:sz w:val="24"/>
      <w:szCs w:val="24"/>
    </w:rPr>
  </w:style>
  <w:style w:type="paragraph" w:customStyle="1" w:styleId="965">
    <w:name w:val="标文"/>
    <w:basedOn w:val="1"/>
    <w:qFormat/>
    <w:uiPriority w:val="0"/>
    <w:pPr>
      <w:adjustRightInd w:val="0"/>
      <w:spacing w:before="120" w:line="360" w:lineRule="auto"/>
    </w:pPr>
    <w:rPr>
      <w:kern w:val="0"/>
      <w:sz w:val="24"/>
    </w:rPr>
  </w:style>
  <w:style w:type="paragraph" w:customStyle="1" w:styleId="966">
    <w:name w:val="项"/>
    <w:basedOn w:val="1"/>
    <w:qFormat/>
    <w:uiPriority w:val="0"/>
    <w:pPr>
      <w:tabs>
        <w:tab w:val="left" w:pos="510"/>
        <w:tab w:val="left" w:pos="840"/>
      </w:tabs>
      <w:adjustRightInd w:val="0"/>
      <w:spacing w:line="460" w:lineRule="exact"/>
      <w:ind w:firstLine="425"/>
      <w:jc w:val="left"/>
      <w:textAlignment w:val="baseline"/>
    </w:pPr>
    <w:rPr>
      <w:kern w:val="0"/>
      <w:sz w:val="24"/>
    </w:rPr>
  </w:style>
  <w:style w:type="paragraph" w:customStyle="1" w:styleId="967">
    <w:name w:val="干"/>
    <w:basedOn w:val="1"/>
    <w:qFormat/>
    <w:uiPriority w:val="0"/>
    <w:pPr>
      <w:tabs>
        <w:tab w:val="left" w:pos="510"/>
        <w:tab w:val="left" w:pos="1080"/>
      </w:tabs>
      <w:adjustRightInd w:val="0"/>
      <w:spacing w:line="460" w:lineRule="exact"/>
      <w:ind w:left="964" w:hanging="340"/>
      <w:jc w:val="left"/>
      <w:textAlignment w:val="baseline"/>
    </w:pPr>
    <w:rPr>
      <w:kern w:val="0"/>
      <w:sz w:val="24"/>
    </w:rPr>
  </w:style>
  <w:style w:type="paragraph" w:customStyle="1" w:styleId="968">
    <w:name w:val="支"/>
    <w:basedOn w:val="1"/>
    <w:qFormat/>
    <w:uiPriority w:val="0"/>
    <w:pPr>
      <w:tabs>
        <w:tab w:val="left" w:pos="1097"/>
      </w:tabs>
      <w:adjustRightInd w:val="0"/>
      <w:spacing w:line="460" w:lineRule="exact"/>
      <w:ind w:left="1021" w:hanging="284"/>
      <w:jc w:val="left"/>
      <w:textAlignment w:val="baseline"/>
    </w:pPr>
    <w:rPr>
      <w:kern w:val="0"/>
      <w:sz w:val="24"/>
    </w:rPr>
  </w:style>
  <w:style w:type="paragraph" w:customStyle="1" w:styleId="969">
    <w:name w:val="支下"/>
    <w:basedOn w:val="1"/>
    <w:qFormat/>
    <w:uiPriority w:val="0"/>
    <w:pPr>
      <w:tabs>
        <w:tab w:val="left" w:pos="510"/>
        <w:tab w:val="left" w:pos="1276"/>
      </w:tabs>
      <w:adjustRightInd w:val="0"/>
      <w:spacing w:line="460" w:lineRule="exact"/>
      <w:ind w:left="1276" w:hanging="425"/>
      <w:jc w:val="left"/>
      <w:textAlignment w:val="baseline"/>
    </w:pPr>
    <w:rPr>
      <w:kern w:val="0"/>
      <w:sz w:val="24"/>
    </w:rPr>
  </w:style>
  <w:style w:type="paragraph" w:customStyle="1" w:styleId="970">
    <w:name w:val="标准"/>
    <w:basedOn w:val="1"/>
    <w:qFormat/>
    <w:uiPriority w:val="0"/>
    <w:pPr>
      <w:adjustRightInd w:val="0"/>
      <w:spacing w:line="500" w:lineRule="exact"/>
      <w:ind w:firstLine="624"/>
      <w:jc w:val="distribute"/>
      <w:textAlignment w:val="baseline"/>
    </w:pPr>
    <w:rPr>
      <w:kern w:val="0"/>
      <w:sz w:val="32"/>
    </w:rPr>
  </w:style>
  <w:style w:type="paragraph" w:customStyle="1" w:styleId="971">
    <w:name w:val="??"/>
    <w:basedOn w:val="1"/>
    <w:qFormat/>
    <w:uiPriority w:val="0"/>
    <w:pPr>
      <w:autoSpaceDE w:val="0"/>
      <w:autoSpaceDN w:val="0"/>
      <w:adjustRightInd w:val="0"/>
      <w:spacing w:line="312" w:lineRule="atLeast"/>
      <w:ind w:firstLine="425"/>
      <w:jc w:val="left"/>
      <w:textAlignment w:val="baseline"/>
    </w:pPr>
    <w:rPr>
      <w:rFonts w:ascii="楷体" w:eastAsia="楷体"/>
      <w:kern w:val="30"/>
      <w:sz w:val="30"/>
    </w:rPr>
  </w:style>
  <w:style w:type="paragraph" w:customStyle="1" w:styleId="972">
    <w:name w:val="Header First"/>
    <w:basedOn w:val="56"/>
    <w:qFormat/>
    <w:uiPriority w:val="0"/>
    <w:pPr>
      <w:keepLines/>
      <w:widowControl/>
      <w:pBdr>
        <w:bottom w:val="none" w:color="auto" w:sz="0" w:space="0"/>
      </w:pBdr>
      <w:tabs>
        <w:tab w:val="center" w:pos="4320"/>
        <w:tab w:val="clear" w:pos="4153"/>
        <w:tab w:val="clear" w:pos="8306"/>
      </w:tabs>
      <w:overflowPunct w:val="0"/>
      <w:autoSpaceDE w:val="0"/>
      <w:autoSpaceDN w:val="0"/>
      <w:adjustRightInd w:val="0"/>
      <w:snapToGrid/>
      <w:textAlignment w:val="baseline"/>
    </w:pPr>
    <w:rPr>
      <w:rFonts w:ascii="宋体"/>
      <w:kern w:val="0"/>
      <w:sz w:val="44"/>
    </w:rPr>
  </w:style>
  <w:style w:type="paragraph" w:customStyle="1" w:styleId="973">
    <w:name w:val="样式"/>
    <w:basedOn w:val="1"/>
    <w:next w:val="974"/>
    <w:qFormat/>
    <w:uiPriority w:val="0"/>
    <w:rPr>
      <w:sz w:val="28"/>
    </w:rPr>
  </w:style>
  <w:style w:type="paragraph" w:customStyle="1" w:styleId="974">
    <w:name w:val="普通 (Web)"/>
    <w:basedOn w:val="1"/>
    <w:qFormat/>
    <w:uiPriority w:val="0"/>
    <w:pPr>
      <w:adjustRightInd w:val="0"/>
      <w:jc w:val="left"/>
      <w:textAlignment w:val="baseline"/>
    </w:pPr>
    <w:rPr>
      <w:kern w:val="0"/>
      <w:sz w:val="28"/>
    </w:rPr>
  </w:style>
  <w:style w:type="paragraph" w:customStyle="1" w:styleId="975">
    <w:name w:val="BodyText"/>
    <w:basedOn w:val="1"/>
    <w:qFormat/>
    <w:uiPriority w:val="0"/>
    <w:pPr>
      <w:adjustRightInd w:val="0"/>
      <w:snapToGrid w:val="0"/>
      <w:spacing w:before="120" w:line="360" w:lineRule="auto"/>
      <w:ind w:firstLine="200"/>
      <w:jc w:val="left"/>
      <w:textAlignment w:val="baseline"/>
    </w:pPr>
    <w:rPr>
      <w:rFonts w:ascii="宋体" w:hAnsi="宋体"/>
      <w:color w:val="000000"/>
      <w:kern w:val="0"/>
      <w:sz w:val="28"/>
    </w:rPr>
  </w:style>
  <w:style w:type="paragraph" w:customStyle="1" w:styleId="97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textAlignment w:val="baseline"/>
    </w:pPr>
    <w:rPr>
      <w:rFonts w:ascii="Courier New" w:hAnsi="Courier New"/>
      <w:kern w:val="0"/>
      <w:sz w:val="20"/>
    </w:rPr>
  </w:style>
  <w:style w:type="paragraph" w:customStyle="1" w:styleId="977">
    <w:name w:val="Address"/>
    <w:basedOn w:val="1"/>
    <w:next w:val="1"/>
    <w:qFormat/>
    <w:uiPriority w:val="0"/>
    <w:pPr>
      <w:autoSpaceDE w:val="0"/>
      <w:autoSpaceDN w:val="0"/>
      <w:adjustRightInd w:val="0"/>
      <w:jc w:val="left"/>
      <w:textAlignment w:val="baseline"/>
    </w:pPr>
    <w:rPr>
      <w:i/>
      <w:kern w:val="0"/>
      <w:sz w:val="28"/>
    </w:rPr>
  </w:style>
  <w:style w:type="paragraph" w:customStyle="1" w:styleId="978">
    <w:name w:val="Definition Term"/>
    <w:basedOn w:val="1"/>
    <w:next w:val="979"/>
    <w:qFormat/>
    <w:uiPriority w:val="0"/>
    <w:pPr>
      <w:autoSpaceDE w:val="0"/>
      <w:autoSpaceDN w:val="0"/>
      <w:adjustRightInd w:val="0"/>
      <w:jc w:val="left"/>
      <w:textAlignment w:val="baseline"/>
    </w:pPr>
    <w:rPr>
      <w:kern w:val="0"/>
      <w:sz w:val="28"/>
    </w:rPr>
  </w:style>
  <w:style w:type="paragraph" w:customStyle="1" w:styleId="979">
    <w:name w:val="Definition List"/>
    <w:basedOn w:val="1"/>
    <w:next w:val="978"/>
    <w:qFormat/>
    <w:uiPriority w:val="0"/>
    <w:pPr>
      <w:autoSpaceDE w:val="0"/>
      <w:autoSpaceDN w:val="0"/>
      <w:adjustRightInd w:val="0"/>
      <w:ind w:left="360"/>
      <w:jc w:val="left"/>
      <w:textAlignment w:val="baseline"/>
    </w:pPr>
    <w:rPr>
      <w:kern w:val="0"/>
      <w:sz w:val="28"/>
    </w:rPr>
  </w:style>
  <w:style w:type="paragraph" w:customStyle="1" w:styleId="980">
    <w:name w:val="Blockquote"/>
    <w:basedOn w:val="1"/>
    <w:qFormat/>
    <w:uiPriority w:val="0"/>
    <w:pPr>
      <w:autoSpaceDE w:val="0"/>
      <w:autoSpaceDN w:val="0"/>
      <w:adjustRightInd w:val="0"/>
      <w:spacing w:before="100" w:after="100"/>
      <w:ind w:left="360" w:right="360"/>
      <w:jc w:val="left"/>
      <w:textAlignment w:val="baseline"/>
    </w:pPr>
    <w:rPr>
      <w:kern w:val="0"/>
      <w:sz w:val="28"/>
    </w:rPr>
  </w:style>
  <w:style w:type="paragraph" w:customStyle="1" w:styleId="981">
    <w:name w:val="z-Bottom of Form"/>
    <w:next w:val="1"/>
    <w:qFormat/>
    <w:uiPriority w:val="0"/>
    <w:pPr>
      <w:widowControl w:val="0"/>
      <w:pBdr>
        <w:top w:val="double" w:color="000000" w:sz="6" w:space="0"/>
      </w:pBdr>
      <w:autoSpaceDE w:val="0"/>
      <w:autoSpaceDN w:val="0"/>
      <w:adjustRightInd w:val="0"/>
      <w:jc w:val="center"/>
      <w:textAlignment w:val="baseline"/>
    </w:pPr>
    <w:rPr>
      <w:rFonts w:ascii="Arial" w:hAnsi="Arial" w:eastAsia="宋体" w:cs="Times New Roman"/>
      <w:vanish/>
      <w:sz w:val="16"/>
      <w:lang w:val="en-US" w:eastAsia="zh-CN" w:bidi="ar-SA"/>
    </w:rPr>
  </w:style>
  <w:style w:type="paragraph" w:customStyle="1" w:styleId="982">
    <w:name w:val="z-Top of Form"/>
    <w:next w:val="1"/>
    <w:qFormat/>
    <w:uiPriority w:val="0"/>
    <w:pPr>
      <w:widowControl w:val="0"/>
      <w:pBdr>
        <w:bottom w:val="double" w:color="000000" w:sz="6" w:space="0"/>
      </w:pBdr>
      <w:autoSpaceDE w:val="0"/>
      <w:autoSpaceDN w:val="0"/>
      <w:adjustRightInd w:val="0"/>
      <w:jc w:val="center"/>
      <w:textAlignment w:val="baseline"/>
    </w:pPr>
    <w:rPr>
      <w:rFonts w:ascii="Arial" w:hAnsi="Arial" w:eastAsia="宋体" w:cs="Times New Roman"/>
      <w:vanish/>
      <w:sz w:val="16"/>
      <w:lang w:val="en-US" w:eastAsia="zh-CN" w:bidi="ar-SA"/>
    </w:rPr>
  </w:style>
  <w:style w:type="paragraph" w:customStyle="1" w:styleId="983">
    <w:name w:val="font12"/>
    <w:basedOn w:val="1"/>
    <w:qFormat/>
    <w:uiPriority w:val="0"/>
    <w:pPr>
      <w:widowControl/>
      <w:spacing w:before="100" w:after="100"/>
      <w:jc w:val="left"/>
    </w:pPr>
    <w:rPr>
      <w:rFonts w:ascii="宋体" w:hAnsi="宋体"/>
      <w:color w:val="000000"/>
      <w:kern w:val="0"/>
      <w:sz w:val="18"/>
    </w:rPr>
  </w:style>
  <w:style w:type="paragraph" w:customStyle="1" w:styleId="984">
    <w:name w:val="font13"/>
    <w:basedOn w:val="1"/>
    <w:qFormat/>
    <w:uiPriority w:val="0"/>
    <w:pPr>
      <w:widowControl/>
      <w:spacing w:before="100" w:after="100"/>
      <w:jc w:val="left"/>
    </w:pPr>
    <w:rPr>
      <w:rFonts w:ascii="宋体" w:hAnsi="宋体"/>
      <w:b/>
      <w:color w:val="000000"/>
      <w:kern w:val="0"/>
      <w:sz w:val="18"/>
    </w:rPr>
  </w:style>
  <w:style w:type="paragraph" w:customStyle="1" w:styleId="985">
    <w:name w:val="font14"/>
    <w:basedOn w:val="1"/>
    <w:qFormat/>
    <w:uiPriority w:val="0"/>
    <w:pPr>
      <w:widowControl/>
      <w:spacing w:before="100" w:after="100"/>
      <w:jc w:val="left"/>
    </w:pPr>
    <w:rPr>
      <w:color w:val="000000"/>
      <w:kern w:val="0"/>
      <w:sz w:val="20"/>
    </w:rPr>
  </w:style>
  <w:style w:type="paragraph" w:customStyle="1" w:styleId="986">
    <w:name w:val="font15"/>
    <w:basedOn w:val="1"/>
    <w:qFormat/>
    <w:uiPriority w:val="0"/>
    <w:pPr>
      <w:widowControl/>
      <w:spacing w:before="100" w:after="100"/>
      <w:jc w:val="left"/>
    </w:pPr>
    <w:rPr>
      <w:rFonts w:ascii="宋体" w:hAnsi="宋体"/>
      <w:color w:val="000000"/>
      <w:kern w:val="0"/>
      <w:sz w:val="20"/>
    </w:rPr>
  </w:style>
  <w:style w:type="paragraph" w:customStyle="1" w:styleId="987">
    <w:name w:val="font16"/>
    <w:basedOn w:val="1"/>
    <w:qFormat/>
    <w:uiPriority w:val="0"/>
    <w:pPr>
      <w:widowControl/>
      <w:spacing w:before="100" w:after="100"/>
      <w:jc w:val="left"/>
    </w:pPr>
    <w:rPr>
      <w:rFonts w:ascii="宋体" w:hAnsi="宋体"/>
      <w:color w:val="000000"/>
      <w:kern w:val="0"/>
      <w:sz w:val="36"/>
    </w:rPr>
  </w:style>
  <w:style w:type="paragraph" w:customStyle="1" w:styleId="988">
    <w:name w:val="纯文本2"/>
    <w:basedOn w:val="1"/>
    <w:qFormat/>
    <w:uiPriority w:val="0"/>
    <w:pPr>
      <w:adjustRightInd w:val="0"/>
      <w:textAlignment w:val="baseline"/>
    </w:pPr>
    <w:rPr>
      <w:rFonts w:ascii="宋体" w:hAnsi="Courier New"/>
      <w:sz w:val="28"/>
    </w:rPr>
  </w:style>
  <w:style w:type="paragraph" w:customStyle="1" w:styleId="989">
    <w:name w:val="技术报告 文"/>
    <w:basedOn w:val="1"/>
    <w:qFormat/>
    <w:uiPriority w:val="0"/>
    <w:pPr>
      <w:spacing w:before="156" w:after="156" w:line="360" w:lineRule="auto"/>
      <w:ind w:firstLine="480"/>
    </w:pPr>
    <w:rPr>
      <w:rFonts w:ascii="宋体" w:hAnsi="宋体"/>
      <w:sz w:val="24"/>
    </w:rPr>
  </w:style>
  <w:style w:type="paragraph" w:customStyle="1" w:styleId="990">
    <w:name w:val="样式 标题 2 + 自动设置 首行缩进:  2 字符 行距: 1.5 倍行距"/>
    <w:basedOn w:val="6"/>
    <w:qFormat/>
    <w:uiPriority w:val="0"/>
    <w:pPr>
      <w:keepLines/>
      <w:tabs>
        <w:tab w:val="left" w:pos="432"/>
        <w:tab w:val="left" w:pos="576"/>
      </w:tabs>
      <w:spacing w:after="120" w:line="360" w:lineRule="auto"/>
      <w:jc w:val="left"/>
    </w:pPr>
    <w:rPr>
      <w:b/>
      <w:sz w:val="28"/>
    </w:rPr>
  </w:style>
  <w:style w:type="paragraph" w:customStyle="1" w:styleId="991">
    <w:name w:val="表中"/>
    <w:basedOn w:val="7"/>
    <w:qFormat/>
    <w:uiPriority w:val="0"/>
    <w:pPr>
      <w:adjustRightInd w:val="0"/>
      <w:snapToGrid w:val="0"/>
      <w:ind w:firstLine="0"/>
      <w:jc w:val="center"/>
    </w:pPr>
    <w:rPr>
      <w:snapToGrid w:val="0"/>
      <w:color w:val="000000"/>
      <w:szCs w:val="24"/>
    </w:rPr>
  </w:style>
  <w:style w:type="paragraph" w:customStyle="1" w:styleId="992">
    <w:name w:val="样式 样式 样式 样式 正文缩进s4 + 首行缩进:  2 字符 + 首行缩进:  2 字符 + + 蓝色"/>
    <w:basedOn w:val="410"/>
    <w:link w:val="1104"/>
    <w:qFormat/>
    <w:uiPriority w:val="0"/>
    <w:pPr>
      <w:tabs>
        <w:tab w:val="left" w:pos="2940"/>
      </w:tabs>
      <w:spacing w:line="360" w:lineRule="auto"/>
      <w:ind w:firstLine="200"/>
    </w:pPr>
    <w:rPr>
      <w:color w:val="0000FF"/>
      <w:sz w:val="24"/>
      <w:szCs w:val="20"/>
    </w:rPr>
  </w:style>
  <w:style w:type="paragraph" w:customStyle="1" w:styleId="993">
    <w:name w:val="样式 样式 样式 样式 样式 正文缩进s4 + 首行缩进:  2 字符 + 首行缩进:  2 字符 + + 首行缩进:  2 字..."/>
    <w:basedOn w:val="433"/>
    <w:qFormat/>
    <w:uiPriority w:val="0"/>
  </w:style>
  <w:style w:type="paragraph" w:customStyle="1" w:styleId="994">
    <w:name w:val="表文字居中"/>
    <w:link w:val="1105"/>
    <w:qFormat/>
    <w:uiPriority w:val="0"/>
    <w:pPr>
      <w:adjustRightInd w:val="0"/>
      <w:spacing w:line="360" w:lineRule="auto"/>
      <w:jc w:val="center"/>
    </w:pPr>
    <w:rPr>
      <w:rFonts w:ascii="Times New Roman" w:hAnsi="Times New Roman" w:eastAsia="宋体" w:cs="Times New Roman"/>
      <w:kern w:val="2"/>
      <w:sz w:val="24"/>
      <w:szCs w:val="24"/>
      <w:lang w:val="en-US" w:eastAsia="zh-CN" w:bidi="ar-SA"/>
    </w:rPr>
  </w:style>
  <w:style w:type="paragraph" w:customStyle="1" w:styleId="995">
    <w:name w:val="批注框文本1"/>
    <w:basedOn w:val="1"/>
    <w:qFormat/>
    <w:uiPriority w:val="0"/>
    <w:pPr>
      <w:snapToGrid w:val="0"/>
      <w:spacing w:beforeLines="50" w:line="360" w:lineRule="auto"/>
    </w:pPr>
    <w:rPr>
      <w:sz w:val="18"/>
      <w:szCs w:val="18"/>
    </w:rPr>
  </w:style>
  <w:style w:type="paragraph" w:customStyle="1" w:styleId="996">
    <w:name w:val="文本正文 + 红色"/>
    <w:basedOn w:val="1"/>
    <w:qFormat/>
    <w:uiPriority w:val="0"/>
    <w:pPr>
      <w:spacing w:line="360" w:lineRule="auto"/>
      <w:ind w:firstLine="480" w:firstLineChars="200"/>
    </w:pPr>
    <w:rPr>
      <w:bCs/>
      <w:color w:val="FF0000"/>
      <w:sz w:val="24"/>
      <w:szCs w:val="24"/>
    </w:rPr>
  </w:style>
  <w:style w:type="paragraph" w:customStyle="1" w:styleId="997">
    <w:name w:val="Char Char Char Char1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998">
    <w:name w:val="aa正文"/>
    <w:basedOn w:val="1"/>
    <w:link w:val="1106"/>
    <w:qFormat/>
    <w:uiPriority w:val="0"/>
    <w:pPr>
      <w:topLinePunct/>
      <w:spacing w:line="500" w:lineRule="exact"/>
      <w:ind w:firstLine="200" w:firstLineChars="200"/>
      <w:textAlignment w:val="baseline"/>
    </w:pPr>
    <w:rPr>
      <w:bCs/>
      <w:snapToGrid w:val="0"/>
      <w:color w:val="000000"/>
      <w:kern w:val="0"/>
      <w:sz w:val="24"/>
      <w:szCs w:val="24"/>
    </w:rPr>
  </w:style>
  <w:style w:type="paragraph" w:customStyle="1" w:styleId="999">
    <w:name w:val="haydonli"/>
    <w:basedOn w:val="1"/>
    <w:link w:val="1108"/>
    <w:qFormat/>
    <w:uiPriority w:val="0"/>
    <w:pPr>
      <w:snapToGrid w:val="0"/>
      <w:spacing w:line="360" w:lineRule="auto"/>
      <w:ind w:firstLine="480" w:firstLineChars="200"/>
    </w:pPr>
    <w:rPr>
      <w:rFonts w:ascii="宋体" w:hAnsi="宋体"/>
      <w:bCs/>
      <w:sz w:val="24"/>
      <w:szCs w:val="24"/>
    </w:rPr>
  </w:style>
  <w:style w:type="paragraph" w:customStyle="1" w:styleId="1000">
    <w:name w:val="正文11"/>
    <w:basedOn w:val="1"/>
    <w:qFormat/>
    <w:uiPriority w:val="0"/>
    <w:pPr>
      <w:spacing w:line="360" w:lineRule="auto"/>
      <w:ind w:firstLine="200" w:firstLineChars="200"/>
    </w:pPr>
    <w:rPr>
      <w:rFonts w:eastAsia="仿宋_GB2312" w:cs="宋体"/>
      <w:bCs/>
      <w:sz w:val="24"/>
      <w:szCs w:val="24"/>
    </w:rPr>
  </w:style>
  <w:style w:type="paragraph" w:customStyle="1" w:styleId="1001">
    <w:name w:val="Char31"/>
    <w:basedOn w:val="27"/>
    <w:qFormat/>
    <w:uiPriority w:val="0"/>
    <w:pPr>
      <w:adjustRightInd w:val="0"/>
      <w:snapToGrid w:val="0"/>
      <w:spacing w:line="360" w:lineRule="auto"/>
    </w:pPr>
    <w:rPr>
      <w:rFonts w:ascii="Tahoma" w:hAnsi="Tahoma" w:eastAsia="仿宋_GB2312"/>
      <w:sz w:val="28"/>
      <w:szCs w:val="24"/>
    </w:rPr>
  </w:style>
  <w:style w:type="paragraph" w:customStyle="1" w:styleId="1002">
    <w:name w:val="Char4 Char Char Char Char Char Char11"/>
    <w:basedOn w:val="1"/>
    <w:qFormat/>
    <w:uiPriority w:val="0"/>
    <w:pPr>
      <w:spacing w:line="360" w:lineRule="auto"/>
      <w:ind w:firstLine="200" w:firstLineChars="200"/>
    </w:pPr>
    <w:rPr>
      <w:rFonts w:ascii="宋体" w:hAnsi="宋体" w:cs="宋体"/>
      <w:sz w:val="24"/>
      <w:szCs w:val="24"/>
    </w:rPr>
  </w:style>
  <w:style w:type="paragraph" w:customStyle="1" w:styleId="1003">
    <w:name w:val="Char8"/>
    <w:basedOn w:val="1"/>
    <w:qFormat/>
    <w:uiPriority w:val="0"/>
    <w:rPr>
      <w:szCs w:val="24"/>
    </w:rPr>
  </w:style>
  <w:style w:type="paragraph" w:customStyle="1" w:styleId="1004">
    <w:name w:val="Char51"/>
    <w:basedOn w:val="1"/>
    <w:qFormat/>
    <w:uiPriority w:val="0"/>
    <w:pPr>
      <w:spacing w:line="360" w:lineRule="auto"/>
      <w:ind w:firstLine="200" w:firstLineChars="200"/>
    </w:pPr>
    <w:rPr>
      <w:rFonts w:ascii="宋体" w:hAnsi="宋体" w:cs="宋体"/>
      <w:sz w:val="24"/>
      <w:szCs w:val="24"/>
    </w:rPr>
  </w:style>
  <w:style w:type="paragraph" w:customStyle="1" w:styleId="1005">
    <w:name w:val="Char Char Char Char Char Char Char Char Char1"/>
    <w:basedOn w:val="1"/>
    <w:qFormat/>
    <w:uiPriority w:val="0"/>
    <w:rPr>
      <w:rFonts w:ascii="宋体" w:hAnsi="宋体" w:cs="宋体"/>
      <w:sz w:val="24"/>
      <w:szCs w:val="24"/>
    </w:rPr>
  </w:style>
  <w:style w:type="paragraph" w:customStyle="1" w:styleId="1006">
    <w:name w:val="Char Char Char Char Char Char Char Char Char Char1"/>
    <w:basedOn w:val="1"/>
    <w:qFormat/>
    <w:uiPriority w:val="0"/>
    <w:pPr>
      <w:widowControl/>
      <w:snapToGrid w:val="0"/>
      <w:spacing w:line="360" w:lineRule="auto"/>
      <w:ind w:firstLine="200" w:firstLineChars="200"/>
      <w:jc w:val="left"/>
    </w:pPr>
    <w:rPr>
      <w:rFonts w:ascii="宋体" w:hAnsi="宋体" w:eastAsia="仿宋_GB2312" w:cs="宋体"/>
      <w:kern w:val="0"/>
      <w:sz w:val="24"/>
      <w:szCs w:val="24"/>
    </w:rPr>
  </w:style>
  <w:style w:type="character" w:customStyle="1" w:styleId="1007">
    <w:name w:val="样式 样式 正文缩进s4 + 首行缩进:  2 字符 + 首行缩进:  2 字符 Char"/>
    <w:qFormat/>
    <w:uiPriority w:val="0"/>
    <w:rPr>
      <w:rFonts w:eastAsia="仿宋_GB2312" w:cs="宋体"/>
      <w:kern w:val="2"/>
      <w:sz w:val="28"/>
      <w:lang w:val="en-US" w:eastAsia="zh-CN" w:bidi="ar-SA"/>
    </w:rPr>
  </w:style>
  <w:style w:type="character" w:customStyle="1" w:styleId="1008">
    <w:name w:val="样式 题注 + 首行缩进:  2 字符 Char"/>
    <w:qFormat/>
    <w:uiPriority w:val="0"/>
    <w:rPr>
      <w:rFonts w:ascii="Arial" w:hAnsi="Arial" w:eastAsia="黑体" w:cs="宋体"/>
      <w:snapToGrid w:val="0"/>
      <w:sz w:val="21"/>
      <w:lang w:val="en-US" w:eastAsia="zh-CN" w:bidi="ar-SA"/>
    </w:rPr>
  </w:style>
  <w:style w:type="character" w:customStyle="1" w:styleId="1009">
    <w:name w:val="样式 正文缩进s4 + 首行缩进:  2 字符 Char"/>
    <w:qFormat/>
    <w:uiPriority w:val="0"/>
    <w:rPr>
      <w:rFonts w:eastAsia="宋体" w:cs="宋体"/>
      <w:kern w:val="2"/>
      <w:sz w:val="24"/>
      <w:lang w:val="en-US" w:eastAsia="zh-CN" w:bidi="ar-SA"/>
    </w:rPr>
  </w:style>
  <w:style w:type="character" w:customStyle="1" w:styleId="1010">
    <w:name w:val="样式 样式 样式 正文缩进s4 + 首行缩进:  2 字符 + 首行缩进:  2 字符 + Char"/>
    <w:qFormat/>
    <w:uiPriority w:val="0"/>
    <w:rPr>
      <w:rFonts w:eastAsia="宋体" w:cs="宋体"/>
      <w:color w:val="000000"/>
      <w:kern w:val="2"/>
      <w:sz w:val="24"/>
      <w:szCs w:val="28"/>
      <w:lang w:val="en-US" w:eastAsia="zh-CN" w:bidi="ar-SA"/>
    </w:rPr>
  </w:style>
  <w:style w:type="character" w:customStyle="1" w:styleId="1011">
    <w:name w:val="样式 (中文) 仿宋_GB2312 小三"/>
    <w:qFormat/>
    <w:uiPriority w:val="0"/>
    <w:rPr>
      <w:rFonts w:eastAsia="仿宋_GB2312"/>
      <w:sz w:val="28"/>
    </w:rPr>
  </w:style>
  <w:style w:type="character" w:customStyle="1" w:styleId="1012">
    <w:name w:val="样式 样式 首行缩进:  2 字符 + 首行缩进:  2 字符 Char"/>
    <w:qFormat/>
    <w:uiPriority w:val="0"/>
    <w:rPr>
      <w:rFonts w:eastAsia="仿宋_GB2312" w:cs="宋体"/>
      <w:sz w:val="28"/>
      <w:szCs w:val="28"/>
      <w:lang w:val="en-US" w:eastAsia="zh-CN" w:bidi="ar-SA"/>
    </w:rPr>
  </w:style>
  <w:style w:type="character" w:customStyle="1" w:styleId="1013">
    <w:name w:val="样式 样式 首行缩进:  2 字符 + 首行缩进:  2 字符1 Char"/>
    <w:qFormat/>
    <w:uiPriority w:val="0"/>
    <w:rPr>
      <w:rFonts w:eastAsia="仿宋_GB2312" w:cs="宋体"/>
      <w:sz w:val="28"/>
      <w:szCs w:val="28"/>
      <w:lang w:val="en-US" w:eastAsia="zh-CN" w:bidi="ar-SA"/>
    </w:rPr>
  </w:style>
  <w:style w:type="character" w:customStyle="1" w:styleId="1014">
    <w:name w:val="题注 Char2"/>
    <w:qFormat/>
    <w:uiPriority w:val="0"/>
    <w:rPr>
      <w:rFonts w:ascii="Arial" w:hAnsi="Arial" w:eastAsia="黑体" w:cs="Arial"/>
      <w:snapToGrid w:val="0"/>
      <w:sz w:val="24"/>
      <w:lang w:val="en-US" w:eastAsia="zh-CN" w:bidi="ar-SA"/>
    </w:rPr>
  </w:style>
  <w:style w:type="character" w:customStyle="1" w:styleId="1015">
    <w:name w:val="text11"/>
    <w:qFormat/>
    <w:uiPriority w:val="0"/>
    <w:rPr>
      <w:spacing w:val="384"/>
      <w:sz w:val="18"/>
      <w:szCs w:val="18"/>
    </w:rPr>
  </w:style>
  <w:style w:type="character" w:customStyle="1" w:styleId="1016">
    <w:name w:val="正文缩进28磅 Char"/>
    <w:qFormat/>
    <w:uiPriority w:val="0"/>
    <w:rPr>
      <w:rFonts w:eastAsia="仿宋_GB2312" w:cs="宋体"/>
      <w:snapToGrid w:val="0"/>
      <w:kern w:val="16"/>
      <w:sz w:val="28"/>
      <w:lang w:val="en-US" w:eastAsia="zh-CN" w:bidi="ar-SA"/>
    </w:rPr>
  </w:style>
  <w:style w:type="character" w:customStyle="1" w:styleId="1017">
    <w:name w:val="正文缩进四号 Char"/>
    <w:link w:val="693"/>
    <w:qFormat/>
    <w:uiPriority w:val="0"/>
    <w:rPr>
      <w:rFonts w:ascii="宋体" w:hAnsi="宋体" w:eastAsia="宋体" w:cs="Times New Roman"/>
      <w:snapToGrid w:val="0"/>
      <w:spacing w:val="-4"/>
      <w:kern w:val="16"/>
      <w:sz w:val="24"/>
      <w:szCs w:val="32"/>
    </w:rPr>
  </w:style>
  <w:style w:type="character" w:customStyle="1" w:styleId="1018">
    <w:name w:val="样式 表格 + Times New Roman Char"/>
    <w:link w:val="655"/>
    <w:qFormat/>
    <w:uiPriority w:val="0"/>
    <w:rPr>
      <w:rFonts w:ascii="Arial" w:hAnsi="Arial" w:eastAsia="宋体" w:cs="Arial"/>
      <w:snapToGrid w:val="0"/>
      <w:kern w:val="0"/>
      <w:szCs w:val="21"/>
    </w:rPr>
  </w:style>
  <w:style w:type="character" w:customStyle="1" w:styleId="1019">
    <w:name w:val="large1"/>
    <w:qFormat/>
    <w:uiPriority w:val="0"/>
    <w:rPr>
      <w:rFonts w:hint="eastAsia" w:ascii="宋体" w:hAnsi="宋体" w:eastAsia="宋体"/>
      <w:spacing w:val="384"/>
      <w:sz w:val="30"/>
      <w:szCs w:val="30"/>
    </w:rPr>
  </w:style>
  <w:style w:type="character" w:customStyle="1" w:styleId="1020">
    <w:name w:val="xygk11"/>
    <w:qFormat/>
    <w:uiPriority w:val="0"/>
    <w:rPr>
      <w:rFonts w:hint="default"/>
      <w:spacing w:val="420"/>
      <w:sz w:val="21"/>
      <w:szCs w:val="21"/>
    </w:rPr>
  </w:style>
  <w:style w:type="character" w:customStyle="1" w:styleId="1021">
    <w:name w:val="pt11"/>
    <w:basedOn w:val="131"/>
    <w:qFormat/>
    <w:uiPriority w:val="0"/>
  </w:style>
  <w:style w:type="character" w:customStyle="1" w:styleId="1022">
    <w:name w:val="pt10-2"/>
    <w:basedOn w:val="131"/>
    <w:qFormat/>
    <w:uiPriority w:val="0"/>
  </w:style>
  <w:style w:type="character" w:customStyle="1" w:styleId="1023">
    <w:name w:val="样式 样式 左侧:  0.98 厘米 + 首行缩进:  2 字符 Char1"/>
    <w:qFormat/>
    <w:uiPriority w:val="0"/>
    <w:rPr>
      <w:rFonts w:ascii="仿宋_GB2312" w:hAnsi="幼圆" w:eastAsia="仿宋_GB2312" w:cs="宋体"/>
      <w:kern w:val="2"/>
      <w:sz w:val="28"/>
      <w:lang w:val="en-US" w:eastAsia="zh-CN" w:bidi="ar-SA"/>
    </w:rPr>
  </w:style>
  <w:style w:type="character" w:customStyle="1" w:styleId="1024">
    <w:name w:val="ourfont2"/>
    <w:basedOn w:val="131"/>
    <w:qFormat/>
    <w:uiPriority w:val="0"/>
  </w:style>
  <w:style w:type="character" w:customStyle="1" w:styleId="1025">
    <w:name w:val="brown4"/>
    <w:basedOn w:val="131"/>
    <w:qFormat/>
    <w:uiPriority w:val="0"/>
  </w:style>
  <w:style w:type="character" w:customStyle="1" w:styleId="1026">
    <w:name w:val="样式 表格 + 两端对齐 Char"/>
    <w:qFormat/>
    <w:uiPriority w:val="0"/>
    <w:rPr>
      <w:rFonts w:ascii="Arial" w:hAnsi="Arial" w:eastAsia="宋体" w:cs="Arial"/>
      <w:bCs/>
      <w:snapToGrid w:val="0"/>
      <w:kern w:val="2"/>
      <w:sz w:val="18"/>
      <w:szCs w:val="18"/>
      <w:lang w:val="en-US" w:eastAsia="zh-CN" w:bidi="ar-SA"/>
    </w:rPr>
  </w:style>
  <w:style w:type="character" w:customStyle="1" w:styleId="1027">
    <w:name w:val="unnamed11"/>
    <w:qFormat/>
    <w:uiPriority w:val="0"/>
    <w:rPr>
      <w:sz w:val="20"/>
      <w:szCs w:val="20"/>
      <w:u w:val="none"/>
    </w:rPr>
  </w:style>
  <w:style w:type="character" w:customStyle="1" w:styleId="1028">
    <w:name w:val="articlecontent1"/>
    <w:qFormat/>
    <w:uiPriority w:val="0"/>
    <w:rPr>
      <w:spacing w:val="440"/>
      <w:sz w:val="24"/>
      <w:szCs w:val="24"/>
    </w:rPr>
  </w:style>
  <w:style w:type="character" w:customStyle="1" w:styleId="1029">
    <w:name w:val="题注 Char1"/>
    <w:qFormat/>
    <w:uiPriority w:val="0"/>
    <w:rPr>
      <w:rFonts w:ascii="Arial" w:hAnsi="Arial" w:eastAsia="黑体" w:cs="Arial"/>
      <w:snapToGrid w:val="0"/>
      <w:sz w:val="21"/>
      <w:lang w:val="en-US" w:eastAsia="zh-CN" w:bidi="ar-SA"/>
    </w:rPr>
  </w:style>
  <w:style w:type="character" w:customStyle="1" w:styleId="1030">
    <w:name w:val="highlight1"/>
    <w:qFormat/>
    <w:uiPriority w:val="0"/>
    <w:rPr>
      <w:sz w:val="21"/>
      <w:szCs w:val="21"/>
    </w:rPr>
  </w:style>
  <w:style w:type="character" w:customStyle="1" w:styleId="1031">
    <w:name w:val="题注jb Char Char"/>
    <w:link w:val="770"/>
    <w:qFormat/>
    <w:uiPriority w:val="0"/>
    <w:rPr>
      <w:rFonts w:ascii="黑体" w:hAnsi="Arial" w:eastAsia="黑体" w:cs="Times New Roman"/>
      <w:snapToGrid w:val="0"/>
      <w:kern w:val="0"/>
      <w:szCs w:val="21"/>
    </w:rPr>
  </w:style>
  <w:style w:type="character" w:customStyle="1" w:styleId="1032">
    <w:name w:val="unnamed31"/>
    <w:qFormat/>
    <w:uiPriority w:val="0"/>
    <w:rPr>
      <w:rFonts w:hint="eastAsia" w:ascii="宋体" w:hAnsi="宋体" w:eastAsia="宋体"/>
      <w:sz w:val="18"/>
      <w:szCs w:val="18"/>
    </w:rPr>
  </w:style>
  <w:style w:type="character" w:customStyle="1" w:styleId="1033">
    <w:name w:val="样式 正文 Char"/>
    <w:qFormat/>
    <w:uiPriority w:val="0"/>
    <w:rPr>
      <w:rFonts w:ascii="宋体" w:hAnsi="宋体" w:eastAsia="宋体" w:cs="宋体"/>
      <w:bCs/>
      <w:snapToGrid w:val="0"/>
      <w:color w:val="000000"/>
      <w:spacing w:val="-4"/>
      <w:kern w:val="16"/>
      <w:sz w:val="24"/>
      <w:szCs w:val="28"/>
    </w:rPr>
  </w:style>
  <w:style w:type="character" w:customStyle="1" w:styleId="1034">
    <w:name w:val="样式 样式 正文 + 仿宋_GB2312 自动设置 Char"/>
    <w:link w:val="779"/>
    <w:qFormat/>
    <w:uiPriority w:val="0"/>
    <w:rPr>
      <w:rFonts w:ascii="仿宋_GB2312" w:hAnsi="仿宋_GB2312" w:eastAsia="宋体" w:cs="宋体"/>
      <w:spacing w:val="-4"/>
      <w:sz w:val="24"/>
      <w:szCs w:val="28"/>
    </w:rPr>
  </w:style>
  <w:style w:type="character" w:customStyle="1" w:styleId="1035">
    <w:name w:val="样式 样式 正文 + 仿宋_GB2312 自动设置1 Char"/>
    <w:qFormat/>
    <w:uiPriority w:val="0"/>
    <w:rPr>
      <w:rFonts w:ascii="仿宋_GB2312" w:hAnsi="仿宋_GB2312" w:eastAsia="宋体" w:cs="宋体"/>
      <w:bCs/>
      <w:snapToGrid w:val="0"/>
      <w:color w:val="000000"/>
      <w:spacing w:val="-4"/>
      <w:kern w:val="16"/>
      <w:sz w:val="24"/>
      <w:szCs w:val="28"/>
    </w:rPr>
  </w:style>
  <w:style w:type="character" w:customStyle="1" w:styleId="1036">
    <w:name w:val="样式 正文文本 + 首行缩进:  2 字符 Char"/>
    <w:link w:val="396"/>
    <w:qFormat/>
    <w:uiPriority w:val="0"/>
    <w:rPr>
      <w:rFonts w:ascii="仿宋_GB2312" w:hAnsi="宋体" w:eastAsia="仿宋_GB2312" w:cs="Times New Roman"/>
      <w:color w:val="000000"/>
      <w:sz w:val="28"/>
      <w:szCs w:val="28"/>
    </w:rPr>
  </w:style>
  <w:style w:type="character" w:customStyle="1" w:styleId="1037">
    <w:name w:val="样式 样式 正文文本 + 首行缩进:  2 字符 + 自动设置 Char"/>
    <w:link w:val="780"/>
    <w:qFormat/>
    <w:uiPriority w:val="0"/>
    <w:rPr>
      <w:rFonts w:ascii="Times New Roman" w:hAnsi="Times New Roman" w:eastAsia="宋体" w:cs="Times New Roman"/>
      <w:kern w:val="0"/>
      <w:sz w:val="24"/>
      <w:szCs w:val="28"/>
    </w:rPr>
  </w:style>
  <w:style w:type="character" w:customStyle="1" w:styleId="1038">
    <w:name w:val="样式 样式 正文 + 自动设置 Char"/>
    <w:link w:val="781"/>
    <w:qFormat/>
    <w:uiPriority w:val="0"/>
    <w:rPr>
      <w:rFonts w:ascii="宋体" w:hAnsi="宋体" w:eastAsia="宋体" w:cs="宋体"/>
      <w:spacing w:val="-4"/>
      <w:kern w:val="16"/>
      <w:sz w:val="24"/>
      <w:szCs w:val="28"/>
    </w:rPr>
  </w:style>
  <w:style w:type="character" w:customStyle="1" w:styleId="1039">
    <w:name w:val="样式 正文缩进s4标题4表正文正文非缩进图标题段1Body Text(ch)缩进ALT+Z特点四号正文不...1 Char"/>
    <w:qFormat/>
    <w:uiPriority w:val="0"/>
    <w:rPr>
      <w:rFonts w:ascii="仿宋_GB2312" w:hAnsi="仿宋_GB2312" w:eastAsia="宋体"/>
      <w:bCs/>
      <w:snapToGrid w:val="0"/>
      <w:color w:val="000000"/>
      <w:spacing w:val="-4"/>
      <w:kern w:val="16"/>
      <w:sz w:val="24"/>
      <w:szCs w:val="32"/>
    </w:rPr>
  </w:style>
  <w:style w:type="character" w:customStyle="1" w:styleId="1040">
    <w:name w:val="样式 样式 样式 样式 正文缩进s4 + 首行缩进:  2 字符 + 首行缩进:  2 字符 + Char + 自动设置"/>
    <w:qFormat/>
    <w:uiPriority w:val="0"/>
    <w:rPr>
      <w:rFonts w:eastAsia="宋体" w:cs="宋体"/>
      <w:color w:val="auto"/>
      <w:kern w:val="2"/>
      <w:sz w:val="24"/>
      <w:szCs w:val="28"/>
      <w:lang w:val="en-US" w:eastAsia="zh-CN" w:bidi="ar-SA"/>
    </w:rPr>
  </w:style>
  <w:style w:type="character" w:customStyle="1" w:styleId="1041">
    <w:name w:val="样式 样式 正文缩进s4 + 首行缩进:  2 字符 + 首行缩进:  2 字符 Char1"/>
    <w:link w:val="614"/>
    <w:qFormat/>
    <w:uiPriority w:val="0"/>
    <w:rPr>
      <w:rFonts w:ascii="Times New Roman" w:hAnsi="Times New Roman" w:eastAsia="宋体" w:cs="Times New Roman"/>
      <w:color w:val="000000"/>
      <w:szCs w:val="20"/>
    </w:rPr>
  </w:style>
  <w:style w:type="character" w:customStyle="1" w:styleId="1042">
    <w:name w:val="样式 样式 样式 正文缩进s4 + 首行缩进:  2 字符 + 首行缩进:  2 字符 + Char1"/>
    <w:link w:val="410"/>
    <w:qFormat/>
    <w:uiPriority w:val="0"/>
    <w:rPr>
      <w:rFonts w:ascii="Times New Roman" w:hAnsi="Times New Roman" w:eastAsia="宋体" w:cs="Times New Roman"/>
      <w:snapToGrid w:val="0"/>
      <w:szCs w:val="21"/>
    </w:rPr>
  </w:style>
  <w:style w:type="character" w:customStyle="1" w:styleId="1043">
    <w:name w:val="样式 样式 样式 样式 正文缩进s4 + 首行缩进:  2 字符 + 首行缩进:  2 字符 + + (西文) 仿宋_GB231... Char"/>
    <w:link w:val="789"/>
    <w:qFormat/>
    <w:uiPriority w:val="0"/>
    <w:rPr>
      <w:rFonts w:ascii="仿宋_GB2312" w:hAnsi="仿宋_GB2312" w:eastAsia="宋体" w:cs="Times New Roman"/>
      <w:snapToGrid w:val="0"/>
      <w:sz w:val="24"/>
      <w:szCs w:val="28"/>
    </w:rPr>
  </w:style>
  <w:style w:type="character" w:customStyle="1" w:styleId="1044">
    <w:name w:val="样式 样式 正文文本 + 首行缩进:  2 字符 + (西文) 仿宋_GB2312 自动设置 Char"/>
    <w:link w:val="792"/>
    <w:qFormat/>
    <w:uiPriority w:val="0"/>
    <w:rPr>
      <w:rFonts w:ascii="仿宋_GB2312" w:hAnsi="仿宋_GB2312" w:eastAsia="宋体" w:cs="Times New Roman"/>
      <w:kern w:val="0"/>
      <w:sz w:val="24"/>
      <w:szCs w:val="28"/>
    </w:rPr>
  </w:style>
  <w:style w:type="character" w:customStyle="1" w:styleId="1045">
    <w:name w:val="样式 样式 正文 + 仿宋_GB2312 自动设置2 Char"/>
    <w:link w:val="793"/>
    <w:qFormat/>
    <w:uiPriority w:val="0"/>
    <w:rPr>
      <w:rFonts w:ascii="仿宋_GB2312" w:hAnsi="仿宋_GB2312" w:eastAsia="宋体" w:cs="宋体"/>
      <w:spacing w:val="-4"/>
      <w:kern w:val="16"/>
      <w:sz w:val="24"/>
      <w:szCs w:val="28"/>
    </w:rPr>
  </w:style>
  <w:style w:type="character" w:customStyle="1" w:styleId="1046">
    <w:name w:val="样式 样式 正文 + 仿宋_GB2312 自动设置3 Char"/>
    <w:link w:val="795"/>
    <w:qFormat/>
    <w:uiPriority w:val="0"/>
    <w:rPr>
      <w:rFonts w:ascii="仿宋_GB2312" w:hAnsi="仿宋_GB2312" w:eastAsia="宋体" w:cs="宋体"/>
      <w:spacing w:val="-4"/>
      <w:sz w:val="24"/>
      <w:szCs w:val="28"/>
    </w:rPr>
  </w:style>
  <w:style w:type="character" w:customStyle="1" w:styleId="1047">
    <w:name w:val="样式 正文缩进s4标题4表正文正文非缩进图标题段1Body Text(ch)缩进ALT+Z特点四号正文不...4 Char"/>
    <w:link w:val="796"/>
    <w:qFormat/>
    <w:uiPriority w:val="0"/>
    <w:rPr>
      <w:rFonts w:ascii="仿宋_GB2312" w:hAnsi="仿宋_GB2312" w:eastAsia="宋体" w:cs="Times New Roman"/>
      <w:snapToGrid w:val="0"/>
      <w:spacing w:val="-4"/>
      <w:sz w:val="24"/>
      <w:szCs w:val="32"/>
    </w:rPr>
  </w:style>
  <w:style w:type="character" w:customStyle="1" w:styleId="1048">
    <w:name w:val="样式 正文缩进s4标题4表正文正文非缩进图标题段1Body Text(ch)缩进ALT+Z特点四号正文不...9 Char"/>
    <w:qFormat/>
    <w:uiPriority w:val="0"/>
    <w:rPr>
      <w:rFonts w:ascii="仿宋_GB2312" w:hAnsi="仿宋_GB2312" w:eastAsia="宋体"/>
      <w:bCs/>
      <w:snapToGrid w:val="0"/>
      <w:color w:val="000000"/>
      <w:spacing w:val="-4"/>
      <w:kern w:val="16"/>
      <w:sz w:val="24"/>
      <w:szCs w:val="32"/>
    </w:rPr>
  </w:style>
  <w:style w:type="character" w:customStyle="1" w:styleId="1049">
    <w:name w:val="样式 样式 首行缩进:  0.99 厘米 + Times New Roman Char"/>
    <w:link w:val="811"/>
    <w:qFormat/>
    <w:uiPriority w:val="0"/>
    <w:rPr>
      <w:rFonts w:ascii="Times New Roman" w:hAnsi="Times New Roman" w:eastAsia="宋体" w:cs="宋体"/>
      <w:sz w:val="24"/>
      <w:szCs w:val="28"/>
    </w:rPr>
  </w:style>
  <w:style w:type="character" w:customStyle="1" w:styleId="1050">
    <w:name w:val="word2"/>
    <w:basedOn w:val="131"/>
    <w:qFormat/>
    <w:uiPriority w:val="0"/>
  </w:style>
  <w:style w:type="character" w:customStyle="1" w:styleId="1051">
    <w:name w:val="正文2 Char"/>
    <w:link w:val="812"/>
    <w:qFormat/>
    <w:uiPriority w:val="0"/>
    <w:rPr>
      <w:rFonts w:ascii="宋体" w:hAnsi="宋体" w:eastAsia="宋体" w:cs="宋体"/>
      <w:color w:val="000000"/>
      <w:sz w:val="24"/>
      <w:szCs w:val="20"/>
    </w:rPr>
  </w:style>
  <w:style w:type="character" w:customStyle="1" w:styleId="1052">
    <w:name w:val="Normal Char"/>
    <w:link w:val="759"/>
    <w:qFormat/>
    <w:uiPriority w:val="0"/>
    <w:rPr>
      <w:rFonts w:ascii="宋体" w:hAnsi="Times New Roman" w:eastAsia="宋体" w:cs="Times New Roman"/>
      <w:spacing w:val="10"/>
      <w:kern w:val="0"/>
      <w:szCs w:val="20"/>
    </w:rPr>
  </w:style>
  <w:style w:type="character" w:customStyle="1" w:styleId="1053">
    <w:name w:val="样式 左侧:  0.98 厘米 Char1"/>
    <w:link w:val="415"/>
    <w:qFormat/>
    <w:uiPriority w:val="0"/>
    <w:rPr>
      <w:rFonts w:ascii="Times New Roman" w:hAnsi="Times New Roman" w:eastAsia="仿宋_GB2312" w:cs="Times New Roman"/>
      <w:color w:val="000000"/>
      <w:sz w:val="28"/>
      <w:szCs w:val="20"/>
    </w:rPr>
  </w:style>
  <w:style w:type="character" w:customStyle="1" w:styleId="1054">
    <w:name w:val="样式 首行缩进:  2 字符 Char"/>
    <w:link w:val="350"/>
    <w:qFormat/>
    <w:uiPriority w:val="0"/>
    <w:rPr>
      <w:rFonts w:ascii="仿宋_GB2312" w:hAnsi="Times New Roman" w:eastAsia="仿宋_GB2312" w:cs="幼圆"/>
      <w:bCs/>
      <w:kern w:val="0"/>
      <w:sz w:val="28"/>
      <w:szCs w:val="28"/>
    </w:rPr>
  </w:style>
  <w:style w:type="character" w:customStyle="1" w:styleId="1055">
    <w:name w:val="样式 样式 样式 首行缩进:  2 字符3 + 首行缩进:  2 字符 + 首行缩进:  2 字符 Char"/>
    <w:qFormat/>
    <w:uiPriority w:val="0"/>
    <w:rPr>
      <w:rFonts w:ascii="宋体" w:hAnsi="宋体" w:eastAsia="宋体" w:cs="幼圆"/>
      <w:sz w:val="24"/>
      <w:lang w:val="en-US" w:eastAsia="zh-CN" w:bidi="ar-SA"/>
    </w:rPr>
  </w:style>
  <w:style w:type="character" w:customStyle="1" w:styleId="1056">
    <w:name w:val="标题 4款标题1.1.1.1目款标题L4条标题1.1.1.1标题1.1.1.1H4BSH-4W4废1...2 Char"/>
    <w:link w:val="820"/>
    <w:qFormat/>
    <w:uiPriority w:val="0"/>
    <w:rPr>
      <w:rFonts w:ascii="宋体" w:hAnsi="宋体" w:eastAsia="黑体" w:cs="宋体"/>
      <w:sz w:val="28"/>
      <w:szCs w:val="24"/>
    </w:rPr>
  </w:style>
  <w:style w:type="character" w:customStyle="1" w:styleId="1057">
    <w:name w:val="样式 样式 标题 3条标题1.1.13h33rd levelH3l3CT段物探标题3 Char Char Char ... + ... Char"/>
    <w:link w:val="822"/>
    <w:qFormat/>
    <w:uiPriority w:val="0"/>
    <w:rPr>
      <w:rFonts w:ascii="Times New Roman" w:hAnsi="Times New Roman" w:eastAsia="黑体" w:cs="Times New Roman"/>
      <w:b/>
      <w:color w:val="000000"/>
      <w:sz w:val="32"/>
      <w:szCs w:val="20"/>
    </w:rPr>
  </w:style>
  <w:style w:type="character" w:customStyle="1" w:styleId="1058">
    <w:name w:val="样式 样式 样式 标题 3条标题1.1.13h33rd levelH3l3CT段物探标题3 Char Char Char ......3 Char"/>
    <w:link w:val="825"/>
    <w:qFormat/>
    <w:uiPriority w:val="0"/>
    <w:rPr>
      <w:rFonts w:ascii="Times New Roman" w:hAnsi="Times New Roman" w:eastAsia="黑体" w:cs="Times New Roman"/>
      <w:b/>
      <w:bCs/>
      <w:sz w:val="32"/>
      <w:szCs w:val="32"/>
    </w:rPr>
  </w:style>
  <w:style w:type="character" w:customStyle="1" w:styleId="1059">
    <w:name w:val="样式 首行缩进:  1.92 字符 Char"/>
    <w:link w:val="644"/>
    <w:qFormat/>
    <w:uiPriority w:val="0"/>
    <w:rPr>
      <w:rFonts w:ascii="Times New Roman" w:hAnsi="Times New Roman" w:eastAsia="仿宋_GB2312" w:cs="宋体"/>
      <w:sz w:val="28"/>
      <w:szCs w:val="20"/>
    </w:rPr>
  </w:style>
  <w:style w:type="character" w:customStyle="1" w:styleId="1060">
    <w:name w:val="样式 正文文本缩进 + 仿宋_GB2312 四号 段后: 0 磅 行距: 1.5 倍行距 Char"/>
    <w:link w:val="666"/>
    <w:qFormat/>
    <w:uiPriority w:val="0"/>
    <w:rPr>
      <w:rFonts w:ascii="仿宋_GB2312" w:hAnsi="仿宋_GB2312" w:eastAsia="宋体" w:cs="宋体"/>
      <w:sz w:val="24"/>
      <w:szCs w:val="20"/>
    </w:rPr>
  </w:style>
  <w:style w:type="character" w:customStyle="1" w:styleId="1061">
    <w:name w:val="样式 首行缩进:  0.99 厘米 Char"/>
    <w:link w:val="667"/>
    <w:qFormat/>
    <w:uiPriority w:val="0"/>
    <w:rPr>
      <w:rFonts w:ascii="仿宋_GB2312" w:hAnsi="Times New Roman" w:eastAsia="宋体" w:cs="宋体"/>
      <w:sz w:val="24"/>
      <w:szCs w:val="28"/>
    </w:rPr>
  </w:style>
  <w:style w:type="character" w:customStyle="1" w:styleId="1062">
    <w:name w:val="样式 样式 正文文本缩进 + 仿宋_GB2312 四号 段后: 0 磅 行距: 1.5 倍行距 + Times New Roman Char"/>
    <w:link w:val="860"/>
    <w:qFormat/>
    <w:uiPriority w:val="0"/>
    <w:rPr>
      <w:rFonts w:ascii="Times New Roman" w:hAnsi="Times New Roman" w:eastAsia="宋体" w:cs="宋体"/>
      <w:sz w:val="24"/>
      <w:szCs w:val="20"/>
    </w:rPr>
  </w:style>
  <w:style w:type="character" w:customStyle="1" w:styleId="1063">
    <w:name w:val="样式 样式 首行缩进:  1.92 字符 + 首行缩进:  2 字符 Char"/>
    <w:link w:val="861"/>
    <w:qFormat/>
    <w:uiPriority w:val="0"/>
    <w:rPr>
      <w:rFonts w:ascii="Times New Roman" w:hAnsi="Times New Roman" w:eastAsia="仿宋_GB2312" w:cs="宋体"/>
      <w:sz w:val="28"/>
      <w:szCs w:val="20"/>
    </w:rPr>
  </w:style>
  <w:style w:type="character" w:customStyle="1" w:styleId="1064">
    <w:name w:val="样式（正文） Char"/>
    <w:link w:val="862"/>
    <w:qFormat/>
    <w:uiPriority w:val="0"/>
    <w:rPr>
      <w:rFonts w:ascii="宋体" w:hAnsi="宋体" w:eastAsia="宋体" w:cs="Times New Roman"/>
      <w:snapToGrid w:val="0"/>
      <w:kern w:val="0"/>
      <w:sz w:val="24"/>
      <w:szCs w:val="21"/>
    </w:rPr>
  </w:style>
  <w:style w:type="character" w:customStyle="1" w:styleId="1065">
    <w:name w:val="hpzw Char"/>
    <w:link w:val="876"/>
    <w:qFormat/>
    <w:uiPriority w:val="0"/>
    <w:rPr>
      <w:rFonts w:ascii="Times New Roman" w:hAnsi="Times New Roman" w:eastAsia="宋体" w:cs="宋体"/>
      <w:bCs/>
      <w:sz w:val="24"/>
      <w:szCs w:val="30"/>
    </w:rPr>
  </w:style>
  <w:style w:type="character" w:customStyle="1" w:styleId="1066">
    <w:name w:val="样式 样式 样式 左侧:  0.98 厘米 + 首行缩进:  2 字符 + 黑色 Char"/>
    <w:qFormat/>
    <w:uiPriority w:val="0"/>
    <w:rPr>
      <w:rFonts w:ascii="幼圆" w:hAnsi="幼圆" w:eastAsia="仿宋_GB2312"/>
      <w:b/>
      <w:color w:val="000000"/>
      <w:kern w:val="2"/>
      <w:sz w:val="28"/>
      <w:lang w:val="en-US" w:eastAsia="zh-CN"/>
    </w:rPr>
  </w:style>
  <w:style w:type="character" w:customStyle="1" w:styleId="1067">
    <w:name w:val="样式 正文文本表中文字 + 小四 Char"/>
    <w:qFormat/>
    <w:uiPriority w:val="0"/>
    <w:rPr>
      <w:rFonts w:eastAsia="宋体"/>
      <w:b/>
      <w:snapToGrid w:val="0"/>
      <w:color w:val="000000"/>
      <w:kern w:val="2"/>
      <w:sz w:val="24"/>
      <w:lang w:val="en-US" w:eastAsia="zh-CN"/>
    </w:rPr>
  </w:style>
  <w:style w:type="character" w:customStyle="1" w:styleId="1068">
    <w:name w:val="Char Char7"/>
    <w:qFormat/>
    <w:uiPriority w:val="0"/>
    <w:rPr>
      <w:rFonts w:ascii="Arial" w:hAnsi="Arial" w:eastAsia="黑体"/>
      <w:b/>
      <w:color w:val="000000"/>
      <w:kern w:val="2"/>
      <w:sz w:val="24"/>
      <w:lang w:val="en-US" w:eastAsia="zh-CN" w:bidi="ar-SA"/>
    </w:rPr>
  </w:style>
  <w:style w:type="character" w:customStyle="1" w:styleId="1069">
    <w:name w:val="正文+单倍行距 Char"/>
    <w:link w:val="902"/>
    <w:qFormat/>
    <w:uiPriority w:val="0"/>
    <w:rPr>
      <w:rFonts w:ascii="Times New Roman" w:hAnsi="Times New Roman" w:eastAsia="仿宋_GB2312" w:cs="Arial"/>
      <w:kern w:val="0"/>
      <w:sz w:val="28"/>
      <w:szCs w:val="28"/>
    </w:rPr>
  </w:style>
  <w:style w:type="character" w:customStyle="1" w:styleId="1070">
    <w:name w:val="正文 + 首行缩进:  2 字符 Char"/>
    <w:link w:val="904"/>
    <w:qFormat/>
    <w:uiPriority w:val="0"/>
    <w:rPr>
      <w:rFonts w:ascii="宋体" w:hAnsi="宋体" w:eastAsia="宋体" w:cs="Times New Roman"/>
      <w:snapToGrid w:val="0"/>
      <w:sz w:val="24"/>
      <w:szCs w:val="20"/>
    </w:rPr>
  </w:style>
  <w:style w:type="character" w:customStyle="1" w:styleId="1071">
    <w:name w:val="zhize1"/>
    <w:qFormat/>
    <w:uiPriority w:val="0"/>
    <w:rPr>
      <w:rFonts w:eastAsia="宋体"/>
      <w:b/>
      <w:color w:val="000000"/>
      <w:spacing w:val="270"/>
      <w:kern w:val="2"/>
      <w:sz w:val="24"/>
      <w:lang w:val="en-US" w:eastAsia="zh-CN"/>
    </w:rPr>
  </w:style>
  <w:style w:type="character" w:customStyle="1" w:styleId="1072">
    <w:name w:val="字母编号列项（一级） Char"/>
    <w:link w:val="907"/>
    <w:qFormat/>
    <w:uiPriority w:val="0"/>
    <w:rPr>
      <w:rFonts w:ascii="宋体" w:hAnsi="Times New Roman" w:eastAsia="宋体" w:cs="Times New Roman"/>
      <w:kern w:val="0"/>
      <w:szCs w:val="20"/>
    </w:rPr>
  </w:style>
  <w:style w:type="character" w:customStyle="1" w:styleId="1073">
    <w:name w:val="Char Char8"/>
    <w:qFormat/>
    <w:uiPriority w:val="0"/>
    <w:rPr>
      <w:rFonts w:ascii="宋体" w:hAnsi="宋体" w:eastAsia="宋体"/>
      <w:b/>
      <w:color w:val="000000"/>
      <w:kern w:val="44"/>
      <w:sz w:val="28"/>
      <w:szCs w:val="15"/>
      <w:lang w:val="en-US" w:eastAsia="zh-CN" w:bidi="ar-SA"/>
    </w:rPr>
  </w:style>
  <w:style w:type="character" w:customStyle="1" w:styleId="1074">
    <w:name w:val="样式 标题 4款标题1.1.1.1目款标题L4条标题1.1.1.1标题1.1.1.1H4BSH-4W4废1... Char"/>
    <w:link w:val="903"/>
    <w:qFormat/>
    <w:uiPriority w:val="0"/>
    <w:rPr>
      <w:rFonts w:ascii="Arial" w:hAnsi="Arial" w:eastAsia="黑体" w:cs="宋体"/>
      <w:color w:val="000000"/>
      <w:sz w:val="30"/>
      <w:szCs w:val="20"/>
    </w:rPr>
  </w:style>
  <w:style w:type="character" w:customStyle="1" w:styleId="1075">
    <w:name w:val="公文正文"/>
    <w:qFormat/>
    <w:uiPriority w:val="0"/>
    <w:rPr>
      <w:rFonts w:eastAsia="仿宋_GB2312"/>
      <w:b/>
      <w:color w:val="000000"/>
      <w:kern w:val="2"/>
      <w:sz w:val="32"/>
      <w:lang w:val="en-US" w:eastAsia="zh-CN"/>
    </w:rPr>
  </w:style>
  <w:style w:type="character" w:customStyle="1" w:styleId="1076">
    <w:name w:val="Char Char12"/>
    <w:qFormat/>
    <w:uiPriority w:val="0"/>
    <w:rPr>
      <w:rFonts w:eastAsia="宋体"/>
      <w:b/>
      <w:bCs/>
      <w:color w:val="000000"/>
      <w:kern w:val="2"/>
      <w:sz w:val="28"/>
      <w:szCs w:val="28"/>
      <w:lang w:val="en-US" w:eastAsia="zh-CN"/>
    </w:rPr>
  </w:style>
  <w:style w:type="character" w:customStyle="1" w:styleId="1077">
    <w:name w:val="Char Char14"/>
    <w:qFormat/>
    <w:uiPriority w:val="0"/>
    <w:rPr>
      <w:rFonts w:ascii="Arial" w:hAnsi="Arial" w:eastAsia="宋体"/>
      <w:b/>
      <w:color w:val="000000"/>
      <w:kern w:val="2"/>
      <w:sz w:val="36"/>
      <w:szCs w:val="28"/>
      <w:lang w:val="en-US" w:eastAsia="zh-CN" w:bidi="ar-SA"/>
    </w:rPr>
  </w:style>
  <w:style w:type="character" w:customStyle="1" w:styleId="1078">
    <w:name w:val="lanmu_title1"/>
    <w:qFormat/>
    <w:uiPriority w:val="0"/>
    <w:rPr>
      <w:rFonts w:eastAsia="宋体"/>
      <w:b/>
      <w:bCs/>
      <w:color w:val="000000"/>
      <w:kern w:val="2"/>
      <w:sz w:val="21"/>
      <w:szCs w:val="21"/>
      <w:lang w:val="en-US" w:eastAsia="zh-CN"/>
    </w:rPr>
  </w:style>
  <w:style w:type="character" w:customStyle="1" w:styleId="1079">
    <w:name w:val="tpc_content1"/>
    <w:qFormat/>
    <w:uiPriority w:val="0"/>
    <w:rPr>
      <w:rFonts w:eastAsia="宋体"/>
      <w:b/>
      <w:color w:val="000000"/>
      <w:kern w:val="2"/>
      <w:sz w:val="20"/>
      <w:szCs w:val="20"/>
      <w:lang w:val="en-US" w:eastAsia="zh-CN"/>
    </w:rPr>
  </w:style>
  <w:style w:type="character" w:customStyle="1" w:styleId="1080">
    <w:name w:val="family"/>
    <w:qFormat/>
    <w:uiPriority w:val="0"/>
    <w:rPr>
      <w:rFonts w:eastAsia="宋体"/>
      <w:b/>
      <w:color w:val="000000"/>
      <w:kern w:val="2"/>
      <w:sz w:val="24"/>
      <w:lang w:val="en-US" w:eastAsia="zh-CN"/>
    </w:rPr>
  </w:style>
  <w:style w:type="character" w:customStyle="1" w:styleId="1081">
    <w:name w:val="样式 标题 3条标题1.1.13h33rd levelH3l3CT段物探标题3 Char Char Char ... Char"/>
    <w:link w:val="769"/>
    <w:qFormat/>
    <w:uiPriority w:val="0"/>
    <w:rPr>
      <w:rFonts w:ascii="Times New Roman" w:hAnsi="Times New Roman" w:eastAsia="楷体_GB2312" w:cs="宋体"/>
      <w:b/>
      <w:bCs/>
      <w:kern w:val="0"/>
      <w:sz w:val="32"/>
      <w:szCs w:val="20"/>
    </w:rPr>
  </w:style>
  <w:style w:type="character" w:customStyle="1" w:styleId="1082">
    <w:name w:val="headline-content2"/>
    <w:basedOn w:val="131"/>
    <w:qFormat/>
    <w:uiPriority w:val="0"/>
  </w:style>
  <w:style w:type="character" w:customStyle="1" w:styleId="1083">
    <w:name w:val="表格文字 + Times New Roman Char"/>
    <w:link w:val="932"/>
    <w:qFormat/>
    <w:uiPriority w:val="0"/>
    <w:rPr>
      <w:rFonts w:ascii="Times New Roman" w:hAnsi="Times New Roman" w:eastAsia="宋体" w:cs="Times New Roman"/>
      <w:kern w:val="0"/>
      <w:sz w:val="20"/>
      <w:szCs w:val="20"/>
    </w:rPr>
  </w:style>
  <w:style w:type="character" w:customStyle="1" w:styleId="1084">
    <w:name w:val="正文文本最新 Char Char Char Char1 Char Char"/>
    <w:link w:val="933"/>
    <w:qFormat/>
    <w:uiPriority w:val="0"/>
    <w:rPr>
      <w:rFonts w:ascii="Times New Roman" w:hAnsi="Times New Roman" w:eastAsia="宋体" w:cs="Times New Roman"/>
      <w:bCs/>
      <w:sz w:val="28"/>
      <w:szCs w:val="24"/>
    </w:rPr>
  </w:style>
  <w:style w:type="character" w:customStyle="1" w:styleId="1085">
    <w:name w:val="样式5 Char"/>
    <w:link w:val="432"/>
    <w:qFormat/>
    <w:uiPriority w:val="0"/>
    <w:rPr>
      <w:rFonts w:ascii="宋体" w:hAnsi="宋体" w:eastAsia="宋体" w:cs="Times New Roman"/>
      <w:sz w:val="24"/>
      <w:szCs w:val="20"/>
    </w:rPr>
  </w:style>
  <w:style w:type="character" w:customStyle="1" w:styleId="1086">
    <w:name w:val="正文宋体小四 Char Char"/>
    <w:link w:val="934"/>
    <w:qFormat/>
    <w:uiPriority w:val="0"/>
    <w:rPr>
      <w:rFonts w:ascii="Times New Roman" w:hAnsi="Times New Roman" w:eastAsia="Times New Roman" w:cs="幼圆"/>
      <w:kern w:val="0"/>
      <w:sz w:val="24"/>
      <w:szCs w:val="28"/>
    </w:rPr>
  </w:style>
  <w:style w:type="character" w:customStyle="1" w:styleId="1087">
    <w:name w:val="表格文字（小五） Char"/>
    <w:link w:val="414"/>
    <w:qFormat/>
    <w:uiPriority w:val="0"/>
    <w:rPr>
      <w:rFonts w:ascii="Arial" w:hAnsi="Arial" w:eastAsia="宋体" w:cs="Arial"/>
      <w:sz w:val="20"/>
      <w:szCs w:val="20"/>
    </w:rPr>
  </w:style>
  <w:style w:type="character" w:customStyle="1" w:styleId="1088">
    <w:name w:val="d11"/>
    <w:qFormat/>
    <w:uiPriority w:val="0"/>
    <w:rPr>
      <w:spacing w:val="400"/>
      <w:sz w:val="20"/>
      <w:szCs w:val="20"/>
    </w:rPr>
  </w:style>
  <w:style w:type="character" w:customStyle="1" w:styleId="1089">
    <w:name w:val="标题31"/>
    <w:qFormat/>
    <w:uiPriority w:val="0"/>
  </w:style>
  <w:style w:type="character" w:customStyle="1" w:styleId="1090">
    <w:name w:val="kpms-span-disabled1"/>
    <w:qFormat/>
    <w:uiPriority w:val="0"/>
  </w:style>
  <w:style w:type="character" w:customStyle="1" w:styleId="1091">
    <w:name w:val="样式 标题 1章标题 1h11st levelSection Headl1-*+ + 小四 Char"/>
    <w:link w:val="944"/>
    <w:qFormat/>
    <w:uiPriority w:val="0"/>
    <w:rPr>
      <w:rFonts w:ascii="Times New Roman" w:hAnsi="Times New Roman" w:eastAsia="宋体" w:cs="Times New Roman"/>
      <w:b/>
      <w:bCs/>
      <w:kern w:val="44"/>
      <w:sz w:val="28"/>
      <w:szCs w:val="28"/>
    </w:rPr>
  </w:style>
  <w:style w:type="character" w:customStyle="1" w:styleId="1092">
    <w:name w:val="样式 标题 2节标题 1.11.1标题2 + 四号 非加粗 Char"/>
    <w:link w:val="946"/>
    <w:qFormat/>
    <w:uiPriority w:val="0"/>
    <w:rPr>
      <w:rFonts w:ascii="Times New Roman" w:hAnsi="Times New Roman" w:eastAsia="宋体" w:cs="Times New Roman"/>
      <w:b/>
      <w:kern w:val="44"/>
      <w:sz w:val="28"/>
      <w:szCs w:val="20"/>
    </w:rPr>
  </w:style>
  <w:style w:type="character" w:customStyle="1" w:styleId="1093">
    <w:name w:val="节标题 1.1 Char Char"/>
    <w:qFormat/>
    <w:uiPriority w:val="0"/>
    <w:rPr>
      <w:rFonts w:eastAsia="宋体"/>
      <w:b/>
      <w:sz w:val="24"/>
      <w:lang w:val="en-US" w:eastAsia="zh-CN" w:bidi="ar-SA"/>
    </w:rPr>
  </w:style>
  <w:style w:type="character" w:customStyle="1" w:styleId="1094">
    <w:name w:val="Definition"/>
    <w:qFormat/>
    <w:uiPriority w:val="0"/>
    <w:rPr>
      <w:i/>
      <w:iCs/>
      <w:sz w:val="20"/>
      <w:szCs w:val="20"/>
    </w:rPr>
  </w:style>
  <w:style w:type="character" w:customStyle="1" w:styleId="1095">
    <w:name w:val="CITE"/>
    <w:qFormat/>
    <w:uiPriority w:val="0"/>
    <w:rPr>
      <w:i/>
      <w:iCs/>
      <w:sz w:val="20"/>
      <w:szCs w:val="20"/>
    </w:rPr>
  </w:style>
  <w:style w:type="character" w:customStyle="1" w:styleId="1096">
    <w:name w:val="CODE"/>
    <w:qFormat/>
    <w:uiPriority w:val="0"/>
    <w:rPr>
      <w:rFonts w:ascii="Courier New" w:hAnsi="Courier New" w:cs="Tms Rmn"/>
      <w:sz w:val="20"/>
      <w:szCs w:val="20"/>
    </w:rPr>
  </w:style>
  <w:style w:type="character" w:customStyle="1" w:styleId="1097">
    <w:name w:val="Keyboard"/>
    <w:qFormat/>
    <w:uiPriority w:val="0"/>
    <w:rPr>
      <w:rFonts w:ascii="Courier New" w:hAnsi="Courier New" w:cs="Tms Rmn"/>
      <w:b/>
      <w:bCs/>
      <w:sz w:val="20"/>
      <w:szCs w:val="20"/>
    </w:rPr>
  </w:style>
  <w:style w:type="character" w:customStyle="1" w:styleId="1098">
    <w:name w:val="Sample"/>
    <w:qFormat/>
    <w:uiPriority w:val="0"/>
    <w:rPr>
      <w:rFonts w:ascii="Courier New" w:hAnsi="Courier New" w:cs="Tms Rmn"/>
      <w:sz w:val="20"/>
      <w:szCs w:val="20"/>
    </w:rPr>
  </w:style>
  <w:style w:type="character" w:customStyle="1" w:styleId="1099">
    <w:name w:val="Typewriter"/>
    <w:qFormat/>
    <w:uiPriority w:val="0"/>
    <w:rPr>
      <w:rFonts w:ascii="Courier New" w:hAnsi="Courier New" w:cs="Tms Rmn"/>
      <w:sz w:val="20"/>
      <w:szCs w:val="20"/>
    </w:rPr>
  </w:style>
  <w:style w:type="character" w:customStyle="1" w:styleId="1100">
    <w:name w:val="Variable"/>
    <w:qFormat/>
    <w:uiPriority w:val="0"/>
    <w:rPr>
      <w:i/>
      <w:iCs/>
      <w:sz w:val="20"/>
      <w:szCs w:val="20"/>
    </w:rPr>
  </w:style>
  <w:style w:type="character" w:customStyle="1" w:styleId="1101">
    <w:name w:val="HTML Markup"/>
    <w:qFormat/>
    <w:uiPriority w:val="0"/>
    <w:rPr>
      <w:vanish/>
      <w:color w:val="FF0000"/>
      <w:sz w:val="20"/>
      <w:szCs w:val="20"/>
    </w:rPr>
  </w:style>
  <w:style w:type="character" w:customStyle="1" w:styleId="1102">
    <w:name w:val="Comment"/>
    <w:qFormat/>
    <w:uiPriority w:val="0"/>
    <w:rPr>
      <w:vanish/>
      <w:sz w:val="20"/>
      <w:szCs w:val="20"/>
    </w:rPr>
  </w:style>
  <w:style w:type="character" w:customStyle="1" w:styleId="1103">
    <w:name w:val="表头 Char"/>
    <w:qFormat/>
    <w:uiPriority w:val="0"/>
    <w:rPr>
      <w:rFonts w:ascii="Arial" w:hAnsi="Arial" w:eastAsia="黑体"/>
      <w:kern w:val="2"/>
      <w:sz w:val="21"/>
    </w:rPr>
  </w:style>
  <w:style w:type="character" w:customStyle="1" w:styleId="1104">
    <w:name w:val="样式 样式 样式 样式 正文缩进s4 + 首行缩进:  2 字符 + 首行缩进:  2 字符 + + 蓝色 Char"/>
    <w:link w:val="992"/>
    <w:qFormat/>
    <w:uiPriority w:val="0"/>
    <w:rPr>
      <w:rFonts w:ascii="Times New Roman" w:hAnsi="Times New Roman" w:eastAsia="宋体" w:cs="Times New Roman"/>
      <w:snapToGrid w:val="0"/>
      <w:color w:val="0000FF"/>
      <w:sz w:val="24"/>
      <w:szCs w:val="20"/>
    </w:rPr>
  </w:style>
  <w:style w:type="character" w:customStyle="1" w:styleId="1105">
    <w:name w:val="表文字居中 Char"/>
    <w:link w:val="994"/>
    <w:qFormat/>
    <w:uiPriority w:val="0"/>
    <w:rPr>
      <w:rFonts w:ascii="Times New Roman" w:hAnsi="Times New Roman" w:eastAsia="宋体" w:cs="Times New Roman"/>
      <w:sz w:val="24"/>
      <w:szCs w:val="24"/>
    </w:rPr>
  </w:style>
  <w:style w:type="character" w:customStyle="1" w:styleId="1106">
    <w:name w:val="aa正文 Char"/>
    <w:link w:val="998"/>
    <w:qFormat/>
    <w:uiPriority w:val="0"/>
    <w:rPr>
      <w:rFonts w:ascii="Times New Roman" w:hAnsi="Times New Roman" w:eastAsia="宋体" w:cs="Times New Roman"/>
      <w:bCs/>
      <w:snapToGrid w:val="0"/>
      <w:color w:val="000000"/>
      <w:kern w:val="0"/>
      <w:sz w:val="24"/>
      <w:szCs w:val="24"/>
    </w:rPr>
  </w:style>
  <w:style w:type="character" w:customStyle="1" w:styleId="1107">
    <w:name w:val="日期 Char Char"/>
    <w:link w:val="304"/>
    <w:qFormat/>
    <w:uiPriority w:val="0"/>
    <w:rPr>
      <w:rFonts w:ascii="Times New Roman" w:hAnsi="Times New Roman" w:eastAsia="宋体" w:cs="Times New Roman"/>
      <w:sz w:val="30"/>
      <w:szCs w:val="20"/>
    </w:rPr>
  </w:style>
  <w:style w:type="character" w:customStyle="1" w:styleId="1108">
    <w:name w:val="haydonli Char"/>
    <w:link w:val="999"/>
    <w:qFormat/>
    <w:locked/>
    <w:uiPriority w:val="0"/>
    <w:rPr>
      <w:rFonts w:ascii="宋体" w:hAnsi="宋体" w:eastAsia="宋体" w:cs="Times New Roman"/>
      <w:bCs/>
      <w:sz w:val="24"/>
      <w:szCs w:val="24"/>
    </w:rPr>
  </w:style>
  <w:style w:type="character" w:customStyle="1" w:styleId="1109">
    <w:name w:val="Char Char21"/>
    <w:qFormat/>
    <w:uiPriority w:val="0"/>
    <w:rPr>
      <w:rFonts w:ascii="黑体" w:hAnsi="Arial" w:eastAsia="黑体" w:cs="Arial"/>
      <w:sz w:val="21"/>
      <w:szCs w:val="21"/>
      <w:lang w:val="en-US" w:eastAsia="zh-CN" w:bidi="ar-SA"/>
    </w:rPr>
  </w:style>
  <w:style w:type="paragraph" w:customStyle="1" w:styleId="1110">
    <w:name w:val="hb1"/>
    <w:basedOn w:val="34"/>
    <w:link w:val="1111"/>
    <w:qFormat/>
    <w:uiPriority w:val="0"/>
    <w:pPr>
      <w:spacing w:line="460" w:lineRule="exact"/>
      <w:ind w:firstLine="482" w:firstLineChars="200"/>
      <w:jc w:val="both"/>
    </w:pPr>
    <w:rPr>
      <w:rFonts w:ascii="宋体" w:hAnsi="宋体"/>
      <w:color w:val="000000"/>
      <w:szCs w:val="24"/>
    </w:rPr>
  </w:style>
  <w:style w:type="character" w:customStyle="1" w:styleId="1111">
    <w:name w:val="hb1 Char"/>
    <w:link w:val="1110"/>
    <w:qFormat/>
    <w:uiPriority w:val="0"/>
    <w:rPr>
      <w:rFonts w:ascii="宋体" w:hAnsi="宋体" w:eastAsia="宋体" w:cs="Times New Roman"/>
      <w:color w:val="000000"/>
      <w:sz w:val="24"/>
      <w:szCs w:val="24"/>
    </w:rPr>
  </w:style>
  <w:style w:type="character" w:customStyle="1" w:styleId="1112">
    <w:name w:val="样式（正文） Char Char"/>
    <w:qFormat/>
    <w:uiPriority w:val="0"/>
    <w:rPr>
      <w:rFonts w:ascii="宋体" w:hAnsi="宋体" w:eastAsia="宋体" w:cs="宋体"/>
      <w:sz w:val="24"/>
      <w:szCs w:val="24"/>
    </w:rPr>
  </w:style>
  <w:style w:type="character" w:customStyle="1" w:styleId="1113">
    <w:name w:val="HTML 地址 Char"/>
    <w:basedOn w:val="131"/>
    <w:link w:val="40"/>
    <w:qFormat/>
    <w:uiPriority w:val="99"/>
    <w:rPr>
      <w:rFonts w:ascii="仿宋_GB2312" w:hAnsi="Times New Roman" w:eastAsia="仿宋_GB2312" w:cs="Times New Roman"/>
      <w:i/>
      <w:iCs/>
      <w:sz w:val="28"/>
      <w:szCs w:val="28"/>
    </w:rPr>
  </w:style>
  <w:style w:type="paragraph" w:customStyle="1" w:styleId="1114">
    <w:name w:val="新标题1"/>
    <w:qFormat/>
    <w:uiPriority w:val="0"/>
    <w:pPr>
      <w:outlineLvl w:val="0"/>
    </w:pPr>
    <w:rPr>
      <w:rFonts w:ascii="宋体" w:hAnsi="宋体" w:eastAsia="宋体" w:cs="宋体"/>
      <w:b/>
      <w:bCs/>
      <w:spacing w:val="8"/>
      <w:kern w:val="52"/>
      <w:sz w:val="32"/>
      <w:lang w:val="en-US" w:eastAsia="zh-CN" w:bidi="ar-SA"/>
    </w:rPr>
  </w:style>
  <w:style w:type="character" w:customStyle="1" w:styleId="1115">
    <w:name w:val="font121"/>
    <w:qFormat/>
    <w:uiPriority w:val="0"/>
    <w:rPr>
      <w:rFonts w:hint="default" w:ascii="Times New Roman" w:hAnsi="Times New Roman" w:cs="Times New Roman"/>
      <w:color w:val="000000"/>
      <w:sz w:val="21"/>
      <w:szCs w:val="21"/>
      <w:u w:val="none"/>
      <w:vertAlign w:val="superscript"/>
    </w:rPr>
  </w:style>
  <w:style w:type="paragraph" w:customStyle="1" w:styleId="1116">
    <w:name w:val="索引 11"/>
    <w:basedOn w:val="1"/>
    <w:next w:val="1"/>
    <w:qFormat/>
    <w:uiPriority w:val="0"/>
    <w:pPr>
      <w:widowControl/>
      <w:jc w:val="center"/>
    </w:pPr>
    <w:rPr>
      <w:rFonts w:ascii="宋体" w:hAnsi="宋体"/>
      <w:szCs w:val="24"/>
    </w:rPr>
  </w:style>
  <w:style w:type="paragraph" w:customStyle="1" w:styleId="1117">
    <w:name w:val="Char2 Char Char Char1 Char Char Char Char Char Char"/>
    <w:basedOn w:val="1"/>
    <w:qFormat/>
    <w:uiPriority w:val="0"/>
    <w:rPr>
      <w:rFonts w:ascii="宋体" w:hAnsi="宋体" w:eastAsia="仿宋_GB2312" w:cs="宋体"/>
      <w:sz w:val="24"/>
      <w:szCs w:val="24"/>
    </w:rPr>
  </w:style>
  <w:style w:type="paragraph" w:customStyle="1" w:styleId="1118">
    <w:name w:val="Char Char22 Char Char Char Char"/>
    <w:basedOn w:val="1"/>
    <w:qFormat/>
    <w:uiPriority w:val="0"/>
    <w:rPr>
      <w:szCs w:val="21"/>
    </w:rPr>
  </w:style>
  <w:style w:type="paragraph" w:customStyle="1" w:styleId="1119">
    <w:name w:val="Char Char22 Char Char Char Char1"/>
    <w:basedOn w:val="1"/>
    <w:qFormat/>
    <w:uiPriority w:val="0"/>
    <w:rPr>
      <w:szCs w:val="21"/>
    </w:rPr>
  </w:style>
  <w:style w:type="character" w:customStyle="1" w:styleId="1120">
    <w:name w:val="样式 首行缩进:  1.92 字符 Char Char"/>
    <w:qFormat/>
    <w:uiPriority w:val="0"/>
    <w:rPr>
      <w:rFonts w:eastAsia="仿宋_GB2312" w:cs="宋体"/>
      <w:kern w:val="2"/>
      <w:sz w:val="28"/>
      <w:lang w:val="en-US" w:eastAsia="zh-CN" w:bidi="ar-SA"/>
    </w:rPr>
  </w:style>
  <w:style w:type="character" w:customStyle="1" w:styleId="1121">
    <w:name w:val="标题 7 Char1"/>
    <w:semiHidden/>
    <w:qFormat/>
    <w:uiPriority w:val="0"/>
    <w:rPr>
      <w:b/>
      <w:bCs/>
      <w:kern w:val="2"/>
      <w:sz w:val="24"/>
      <w:szCs w:val="24"/>
    </w:rPr>
  </w:style>
  <w:style w:type="character" w:customStyle="1" w:styleId="1122">
    <w:name w:val="结束语 Char"/>
    <w:basedOn w:val="131"/>
    <w:link w:val="32"/>
    <w:semiHidden/>
    <w:qFormat/>
    <w:uiPriority w:val="0"/>
    <w:rPr>
      <w:rFonts w:ascii="仿宋_GB2312" w:hAnsi="Times New Roman" w:eastAsia="仿宋_GB2312" w:cs="Times New Roman"/>
      <w:sz w:val="28"/>
      <w:szCs w:val="28"/>
    </w:rPr>
  </w:style>
  <w:style w:type="character" w:customStyle="1" w:styleId="1123">
    <w:name w:val="签名 Char"/>
    <w:basedOn w:val="131"/>
    <w:link w:val="57"/>
    <w:semiHidden/>
    <w:qFormat/>
    <w:uiPriority w:val="0"/>
    <w:rPr>
      <w:rFonts w:ascii="Times New Roman" w:hAnsi="Times New Roman" w:eastAsia="楷体_GB2312" w:cs="Times New Roman"/>
      <w:kern w:val="0"/>
      <w:sz w:val="24"/>
      <w:szCs w:val="28"/>
    </w:rPr>
  </w:style>
  <w:style w:type="character" w:customStyle="1" w:styleId="1124">
    <w:name w:val="正文文本缩进 Char1"/>
    <w:semiHidden/>
    <w:qFormat/>
    <w:uiPriority w:val="0"/>
    <w:rPr>
      <w:kern w:val="2"/>
      <w:sz w:val="21"/>
    </w:rPr>
  </w:style>
  <w:style w:type="character" w:customStyle="1" w:styleId="1125">
    <w:name w:val="信息标题 Char"/>
    <w:basedOn w:val="131"/>
    <w:link w:val="78"/>
    <w:semiHidden/>
    <w:qFormat/>
    <w:uiPriority w:val="0"/>
    <w:rPr>
      <w:rFonts w:ascii="Arial" w:hAnsi="Arial" w:eastAsia="仿宋_GB2312" w:cs="Times New Roman"/>
      <w:sz w:val="24"/>
      <w:szCs w:val="24"/>
      <w:shd w:val="pct20" w:color="auto" w:fill="auto"/>
    </w:rPr>
  </w:style>
  <w:style w:type="character" w:customStyle="1" w:styleId="1126">
    <w:name w:val="副标题 Char"/>
    <w:basedOn w:val="131"/>
    <w:link w:val="63"/>
    <w:qFormat/>
    <w:uiPriority w:val="0"/>
    <w:rPr>
      <w:rFonts w:ascii="Arial" w:hAnsi="Arial" w:eastAsia="宋体" w:cs="Times New Roman"/>
      <w:b/>
      <w:bCs/>
      <w:kern w:val="28"/>
      <w:sz w:val="32"/>
      <w:szCs w:val="32"/>
    </w:rPr>
  </w:style>
  <w:style w:type="character" w:customStyle="1" w:styleId="1127">
    <w:name w:val="正文文本缩进 3 Char1"/>
    <w:semiHidden/>
    <w:qFormat/>
    <w:uiPriority w:val="0"/>
    <w:rPr>
      <w:kern w:val="2"/>
      <w:sz w:val="16"/>
      <w:szCs w:val="16"/>
    </w:rPr>
  </w:style>
  <w:style w:type="character" w:customStyle="1" w:styleId="1128">
    <w:name w:val="样式 (中文) 楷体_GB2312 四号 Char"/>
    <w:link w:val="682"/>
    <w:qFormat/>
    <w:locked/>
    <w:uiPriority w:val="0"/>
    <w:rPr>
      <w:rFonts w:ascii="Times New Roman" w:hAnsi="Times New Roman" w:eastAsia="楷体_GB2312" w:cs="Times New Roman"/>
      <w:sz w:val="28"/>
      <w:szCs w:val="20"/>
    </w:rPr>
  </w:style>
  <w:style w:type="paragraph" w:customStyle="1" w:styleId="1129">
    <w:name w:val="样式 标题 2节标题 1.1标题"/>
    <w:basedOn w:val="6"/>
    <w:qFormat/>
    <w:uiPriority w:val="0"/>
    <w:pPr>
      <w:tabs>
        <w:tab w:val="left" w:pos="0"/>
      </w:tabs>
      <w:adjustRightInd w:val="0"/>
      <w:snapToGrid w:val="0"/>
      <w:spacing w:beforeLines="50" w:line="360" w:lineRule="auto"/>
      <w:jc w:val="left"/>
    </w:pPr>
    <w:rPr>
      <w:rFonts w:ascii="Arial" w:hAnsi="Arial" w:eastAsia="黑体" w:cs="宋体"/>
      <w:sz w:val="32"/>
    </w:rPr>
  </w:style>
  <w:style w:type="paragraph" w:customStyle="1" w:styleId="1130">
    <w:name w:val="样式 表格 + 两端对齐 行距: 多倍行距 1.2 字行"/>
    <w:basedOn w:val="260"/>
    <w:qFormat/>
    <w:uiPriority w:val="0"/>
    <w:pPr>
      <w:spacing w:beforeLines="30" w:afterLines="30" w:line="288" w:lineRule="auto"/>
      <w:jc w:val="both"/>
      <w:textAlignment w:val="auto"/>
    </w:pPr>
    <w:rPr>
      <w:rFonts w:ascii="Arial" w:hAnsi="Arial" w:cs="宋体"/>
      <w:bCs/>
      <w:spacing w:val="0"/>
      <w:w w:val="100"/>
      <w:kern w:val="0"/>
      <w:sz w:val="21"/>
      <w:szCs w:val="21"/>
    </w:rPr>
  </w:style>
  <w:style w:type="paragraph" w:customStyle="1" w:styleId="1131">
    <w:name w:val="样式 首行缩进:  1.01 厘米"/>
    <w:basedOn w:val="1"/>
    <w:qFormat/>
    <w:uiPriority w:val="0"/>
    <w:pPr>
      <w:snapToGrid w:val="0"/>
      <w:spacing w:line="360" w:lineRule="auto"/>
      <w:ind w:left="200" w:leftChars="200"/>
    </w:pPr>
    <w:rPr>
      <w:rFonts w:cs="宋体"/>
      <w:sz w:val="24"/>
      <w:szCs w:val="24"/>
    </w:rPr>
  </w:style>
  <w:style w:type="paragraph" w:customStyle="1" w:styleId="1132">
    <w:name w:val="表格（文本框）"/>
    <w:basedOn w:val="1"/>
    <w:qFormat/>
    <w:uiPriority w:val="0"/>
    <w:pPr>
      <w:adjustRightInd w:val="0"/>
      <w:snapToGrid w:val="0"/>
    </w:pPr>
    <w:rPr>
      <w:color w:val="FF0000"/>
      <w:sz w:val="24"/>
      <w:szCs w:val="28"/>
    </w:rPr>
  </w:style>
  <w:style w:type="paragraph" w:customStyle="1" w:styleId="1133">
    <w:name w:val="样式 标题 4 + 段前: 7.8 磅"/>
    <w:basedOn w:val="9"/>
    <w:qFormat/>
    <w:uiPriority w:val="0"/>
    <w:pPr>
      <w:keepLines/>
      <w:tabs>
        <w:tab w:val="left" w:pos="432"/>
        <w:tab w:val="left" w:pos="1006"/>
        <w:tab w:val="left" w:pos="1147"/>
        <w:tab w:val="left" w:pos="1289"/>
        <w:tab w:val="left" w:pos="1680"/>
      </w:tabs>
      <w:spacing w:before="156" w:after="120" w:line="360" w:lineRule="auto"/>
      <w:ind w:left="1680" w:hanging="420"/>
    </w:pPr>
    <w:rPr>
      <w:rFonts w:ascii="Arial" w:hAnsi="Arial" w:eastAsia="黑体"/>
      <w:bCs/>
      <w:color w:val="auto"/>
      <w:sz w:val="28"/>
      <w:szCs w:val="20"/>
    </w:rPr>
  </w:style>
  <w:style w:type="paragraph" w:customStyle="1" w:styleId="1134">
    <w:name w:val="样式 正文文本缩进 + 仿宋_GB2312 四号 段后: 0 磅 行距: 1.5 倍行距2"/>
    <w:basedOn w:val="3"/>
    <w:qFormat/>
    <w:uiPriority w:val="0"/>
    <w:pPr>
      <w:adjustRightInd w:val="0"/>
      <w:ind w:firstLine="200" w:firstLineChars="200"/>
    </w:pPr>
    <w:rPr>
      <w:rFonts w:ascii="仿宋_GB2312" w:hAnsi="宋体" w:eastAsia="仿宋_GB2312" w:cs="宋体"/>
      <w:color w:val="auto"/>
      <w:kern w:val="0"/>
      <w:sz w:val="28"/>
    </w:rPr>
  </w:style>
  <w:style w:type="paragraph" w:customStyle="1" w:styleId="1135">
    <w:name w:val="样式 目录 1bt + 首行缩进:  2 字符"/>
    <w:basedOn w:val="58"/>
    <w:qFormat/>
    <w:uiPriority w:val="0"/>
    <w:pPr>
      <w:tabs>
        <w:tab w:val="clear" w:pos="735"/>
        <w:tab w:val="clear" w:pos="8511"/>
      </w:tabs>
      <w:adjustRightInd w:val="0"/>
      <w:snapToGrid w:val="0"/>
      <w:spacing w:line="360" w:lineRule="auto"/>
      <w:ind w:firstLine="200" w:firstLineChars="200"/>
      <w:jc w:val="left"/>
    </w:pPr>
    <w:rPr>
      <w:rFonts w:eastAsia="仿宋_GB2312" w:cs="宋体"/>
      <w:b/>
      <w:bCs/>
      <w:caps/>
      <w:sz w:val="24"/>
    </w:rPr>
  </w:style>
  <w:style w:type="paragraph" w:customStyle="1" w:styleId="1136">
    <w:name w:val="Char Char6 Char Char Char Char Char Char Char Char Char Char Char Char1 Char Char Char Char Char Char1 Char Char Char Char"/>
    <w:basedOn w:val="1"/>
    <w:qFormat/>
    <w:uiPriority w:val="0"/>
    <w:rPr>
      <w:b/>
      <w:color w:val="000000"/>
      <w:sz w:val="24"/>
      <w:szCs w:val="24"/>
    </w:rPr>
  </w:style>
  <w:style w:type="paragraph" w:customStyle="1" w:styleId="1137">
    <w:name w:val="样式 题注 + (西文) 黑体 五号 首行缩进:  2 字符 段前: 0 磅 段后: 0 磅 行距: 单倍行距"/>
    <w:basedOn w:val="23"/>
    <w:qFormat/>
    <w:uiPriority w:val="0"/>
    <w:pPr>
      <w:keepNext/>
      <w:widowControl/>
      <w:adjustRightInd/>
      <w:snapToGrid/>
      <w:spacing w:before="0" w:after="0"/>
      <w:ind w:firstLine="200"/>
      <w:textAlignment w:val="auto"/>
    </w:pPr>
    <w:rPr>
      <w:rFonts w:ascii="黑体" w:eastAsia="黑体" w:cs="宋体"/>
      <w:kern w:val="2"/>
      <w:sz w:val="21"/>
    </w:rPr>
  </w:style>
  <w:style w:type="paragraph" w:customStyle="1" w:styleId="1138">
    <w:name w:val="Char7 Char Char"/>
    <w:basedOn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1139">
    <w:name w:val="Char Char Char1 Char Char Char Char Char Char Char Char Char Char Char Char Char Char Char"/>
    <w:basedOn w:val="1"/>
    <w:qFormat/>
    <w:uiPriority w:val="0"/>
    <w:pPr>
      <w:widowControl/>
      <w:spacing w:line="360" w:lineRule="auto"/>
      <w:ind w:firstLine="200" w:firstLineChars="200"/>
      <w:jc w:val="left"/>
    </w:pPr>
    <w:rPr>
      <w:rFonts w:ascii="宋体" w:hAnsi="宋体" w:cs="宋体"/>
      <w:kern w:val="0"/>
      <w:sz w:val="24"/>
      <w:szCs w:val="24"/>
    </w:rPr>
  </w:style>
  <w:style w:type="paragraph" w:customStyle="1" w:styleId="1140">
    <w:name w:val="Char Char6 Char Char Char Char Char Char Char Char Char Char Char Char"/>
    <w:basedOn w:val="1"/>
    <w:qFormat/>
    <w:uiPriority w:val="0"/>
    <w:rPr>
      <w:rFonts w:ascii="宋体" w:hAnsi="宋体"/>
      <w:b/>
      <w:color w:val="000000"/>
      <w:sz w:val="24"/>
      <w:szCs w:val="24"/>
    </w:rPr>
  </w:style>
  <w:style w:type="paragraph" w:customStyle="1" w:styleId="1141">
    <w:name w:val="Char1 Char Char Char Char Char"/>
    <w:basedOn w:val="1"/>
    <w:qFormat/>
    <w:uiPriority w:val="0"/>
    <w:rPr>
      <w:rFonts w:ascii="宋体" w:hAnsi="宋体"/>
      <w:b/>
      <w:color w:val="000000"/>
      <w:sz w:val="24"/>
      <w:szCs w:val="24"/>
    </w:rPr>
  </w:style>
  <w:style w:type="paragraph" w:customStyle="1" w:styleId="1142">
    <w:name w:val="Char5 Char Char Char Char Char"/>
    <w:basedOn w:val="1"/>
    <w:qFormat/>
    <w:uiPriority w:val="0"/>
    <w:pPr>
      <w:spacing w:line="360" w:lineRule="auto"/>
      <w:ind w:firstLine="200" w:firstLineChars="200"/>
    </w:pPr>
    <w:rPr>
      <w:rFonts w:ascii="宋体" w:hAnsi="宋体" w:cs="宋体"/>
      <w:sz w:val="24"/>
      <w:szCs w:val="24"/>
    </w:rPr>
  </w:style>
  <w:style w:type="paragraph" w:customStyle="1" w:styleId="1143">
    <w:name w:val="Char Char3 Char Char Char Char Char Char1 Char Char Char1 Char Char Char Char1 Char Char"/>
    <w:basedOn w:val="1"/>
    <w:qFormat/>
    <w:uiPriority w:val="0"/>
    <w:pPr>
      <w:spacing w:line="360" w:lineRule="auto"/>
      <w:ind w:firstLine="200" w:firstLineChars="200"/>
    </w:pPr>
    <w:rPr>
      <w:rFonts w:ascii="宋体" w:hAnsi="宋体" w:cs="宋体"/>
      <w:sz w:val="24"/>
      <w:szCs w:val="24"/>
    </w:rPr>
  </w:style>
  <w:style w:type="paragraph" w:customStyle="1" w:styleId="1144">
    <w:name w:val="Char Char6 Char Char Char Char Char Char Char Char Char Char Char Char1"/>
    <w:basedOn w:val="1"/>
    <w:qFormat/>
    <w:uiPriority w:val="0"/>
    <w:rPr>
      <w:rFonts w:ascii="宋体" w:hAnsi="宋体"/>
      <w:b/>
      <w:color w:val="000000"/>
      <w:sz w:val="24"/>
      <w:szCs w:val="24"/>
    </w:rPr>
  </w:style>
  <w:style w:type="paragraph" w:customStyle="1" w:styleId="1145">
    <w:name w:val="Char Char6 Char Char Char Char Char Char Char Char Char"/>
    <w:basedOn w:val="1"/>
    <w:qFormat/>
    <w:uiPriority w:val="0"/>
    <w:rPr>
      <w:rFonts w:ascii="宋体" w:hAnsi="宋体"/>
      <w:b/>
      <w:color w:val="000000"/>
      <w:sz w:val="24"/>
      <w:szCs w:val="24"/>
    </w:rPr>
  </w:style>
  <w:style w:type="paragraph" w:customStyle="1" w:styleId="1146">
    <w:name w:val="Char Char Char Char Char Char Char Char Char Char Char Char Char Char Char"/>
    <w:basedOn w:val="1"/>
    <w:qFormat/>
    <w:uiPriority w:val="0"/>
    <w:pPr>
      <w:pageBreakBefore/>
      <w:spacing w:line="360" w:lineRule="auto"/>
      <w:ind w:firstLine="200" w:firstLineChars="200"/>
    </w:pPr>
    <w:rPr>
      <w:rFonts w:ascii="宋体" w:hAnsi="宋体" w:cs="宋体"/>
      <w:sz w:val="24"/>
      <w:szCs w:val="24"/>
    </w:rPr>
  </w:style>
  <w:style w:type="paragraph" w:customStyle="1" w:styleId="1147">
    <w:name w:val="Char Char6 Char Char Char Char Char Char Char Char Char Char Char Char1 Char Char Char Char Char Char"/>
    <w:basedOn w:val="1"/>
    <w:qFormat/>
    <w:uiPriority w:val="0"/>
    <w:rPr>
      <w:b/>
      <w:color w:val="000000"/>
      <w:sz w:val="24"/>
      <w:szCs w:val="24"/>
    </w:rPr>
  </w:style>
  <w:style w:type="paragraph" w:customStyle="1" w:styleId="1148">
    <w:name w:val="Char Char2 Char Char Char Char Char Char Char"/>
    <w:basedOn w:val="1"/>
    <w:qFormat/>
    <w:uiPriority w:val="0"/>
    <w:pPr>
      <w:spacing w:line="360" w:lineRule="auto"/>
      <w:ind w:firstLine="200" w:firstLineChars="200"/>
    </w:pPr>
    <w:rPr>
      <w:kern w:val="0"/>
      <w:sz w:val="24"/>
      <w:szCs w:val="24"/>
    </w:rPr>
  </w:style>
  <w:style w:type="paragraph" w:customStyle="1" w:styleId="1149">
    <w:name w:val="页脚页脚"/>
    <w:basedOn w:val="56"/>
    <w:qFormat/>
    <w:uiPriority w:val="0"/>
    <w:pPr>
      <w:adjustRightInd w:val="0"/>
      <w:jc w:val="right"/>
    </w:pPr>
    <w:rPr>
      <w:rFonts w:eastAsia="楷体_GB2312"/>
      <w:kern w:val="0"/>
      <w:szCs w:val="18"/>
    </w:rPr>
  </w:style>
  <w:style w:type="paragraph" w:customStyle="1" w:styleId="1150">
    <w:name w:val="wxd正文 Char"/>
    <w:basedOn w:val="1"/>
    <w:qFormat/>
    <w:uiPriority w:val="0"/>
    <w:pPr>
      <w:adjustRightInd w:val="0"/>
      <w:ind w:firstLine="200" w:firstLineChars="200"/>
    </w:pPr>
    <w:rPr>
      <w:rFonts w:ascii="宋体" w:hAnsi="宋体" w:cs="宋体"/>
      <w:sz w:val="24"/>
      <w:szCs w:val="24"/>
    </w:rPr>
  </w:style>
  <w:style w:type="character" w:customStyle="1" w:styleId="1151">
    <w:name w:val="拉丁名 Char"/>
    <w:link w:val="1152"/>
    <w:qFormat/>
    <w:locked/>
    <w:uiPriority w:val="0"/>
    <w:rPr>
      <w:rFonts w:ascii="宋体" w:hAnsi="宋体" w:cs="宋体"/>
      <w:bCs/>
      <w:i/>
      <w:sz w:val="24"/>
      <w:szCs w:val="24"/>
    </w:rPr>
  </w:style>
  <w:style w:type="paragraph" w:customStyle="1" w:styleId="1152">
    <w:name w:val="拉丁名"/>
    <w:basedOn w:val="876"/>
    <w:next w:val="876"/>
    <w:link w:val="1151"/>
    <w:qFormat/>
    <w:uiPriority w:val="0"/>
    <w:pPr>
      <w:adjustRightInd w:val="0"/>
      <w:snapToGrid w:val="0"/>
      <w:ind w:firstLine="480"/>
      <w:jc w:val="left"/>
    </w:pPr>
    <w:rPr>
      <w:rFonts w:ascii="宋体" w:hAnsi="宋体" w:eastAsiaTheme="minorEastAsia"/>
      <w:i/>
      <w:szCs w:val="24"/>
    </w:rPr>
  </w:style>
  <w:style w:type="paragraph" w:customStyle="1" w:styleId="1153">
    <w:name w:val="样式 表格 + 首行缩进:  1 字符 段前: 自动 行距: 最小值 12 磅"/>
    <w:basedOn w:val="1"/>
    <w:qFormat/>
    <w:uiPriority w:val="0"/>
    <w:pPr>
      <w:adjustRightInd w:val="0"/>
      <w:snapToGrid w:val="0"/>
      <w:spacing w:line="240" w:lineRule="atLeast"/>
      <w:jc w:val="center"/>
    </w:pPr>
    <w:rPr>
      <w:rFonts w:ascii="黑体" w:hAnsi="宋体" w:cs="宋体"/>
      <w:kern w:val="0"/>
    </w:rPr>
  </w:style>
  <w:style w:type="paragraph" w:customStyle="1" w:styleId="1154">
    <w:name w:val="wxd正文"/>
    <w:basedOn w:val="1"/>
    <w:qFormat/>
    <w:uiPriority w:val="0"/>
    <w:pPr>
      <w:adjustRightInd w:val="0"/>
      <w:snapToGrid w:val="0"/>
      <w:spacing w:line="360" w:lineRule="auto"/>
      <w:ind w:firstLine="200" w:firstLineChars="200"/>
    </w:pPr>
    <w:rPr>
      <w:kern w:val="0"/>
      <w:sz w:val="24"/>
      <w:szCs w:val="28"/>
    </w:rPr>
  </w:style>
  <w:style w:type="paragraph" w:customStyle="1" w:styleId="1155">
    <w:name w:val="样式 样式 样式 左侧:  0.98 厘米 + 首行缩进:  2 字符 + 黑色"/>
    <w:basedOn w:val="721"/>
    <w:qFormat/>
    <w:uiPriority w:val="0"/>
    <w:rPr>
      <w:rFonts w:hint="eastAsia" w:cs="宋体"/>
    </w:rPr>
  </w:style>
  <w:style w:type="paragraph" w:customStyle="1" w:styleId="1156">
    <w:name w:val="样式 样式 样式 左侧:  0.98 厘米 + 首行缩进:  2 字符 + 左侧:  0.49 厘米 右侧:  0.49 厘米"/>
    <w:basedOn w:val="721"/>
    <w:qFormat/>
    <w:uiPriority w:val="0"/>
    <w:rPr>
      <w:rFonts w:hint="eastAsia" w:cs="宋体"/>
      <w:color w:val="auto"/>
    </w:rPr>
  </w:style>
  <w:style w:type="paragraph" w:customStyle="1" w:styleId="1157">
    <w:name w:val="样式 左侧:  0.49 厘米 首行缩进:  2 字符 右侧:  0.49 厘米"/>
    <w:basedOn w:val="1"/>
    <w:qFormat/>
    <w:uiPriority w:val="0"/>
    <w:pPr>
      <w:adjustRightInd w:val="0"/>
      <w:snapToGrid w:val="0"/>
      <w:spacing w:line="360" w:lineRule="auto"/>
      <w:ind w:firstLine="560" w:firstLineChars="200"/>
    </w:pPr>
    <w:rPr>
      <w:rFonts w:eastAsia="仿宋_GB2312" w:cs="宋体"/>
      <w:sz w:val="28"/>
    </w:rPr>
  </w:style>
  <w:style w:type="paragraph" w:customStyle="1" w:styleId="1158">
    <w:name w:val="样式 样式 样式 正文缩进s4 + 首行缩进:  2 字符 + 首行缩进:  2 字符 + 左侧:  0.49 厘米 首行缩进..."/>
    <w:basedOn w:val="614"/>
    <w:qFormat/>
    <w:uiPriority w:val="0"/>
    <w:pPr>
      <w:spacing w:line="360" w:lineRule="auto"/>
      <w:ind w:firstLine="560"/>
    </w:pPr>
    <w:rPr>
      <w:rFonts w:eastAsia="仿宋_GB2312" w:cs="宋体"/>
      <w:color w:val="auto"/>
      <w:sz w:val="28"/>
    </w:rPr>
  </w:style>
  <w:style w:type="paragraph" w:customStyle="1" w:styleId="1159">
    <w:name w:val="样式 (西文) 仿宋_GB2312 (符号) 宋体 左侧:  0.49 厘米 右侧:  0.49 厘米 首行缩进:  2..."/>
    <w:basedOn w:val="1"/>
    <w:qFormat/>
    <w:uiPriority w:val="0"/>
    <w:pPr>
      <w:adjustRightInd w:val="0"/>
      <w:snapToGrid w:val="0"/>
      <w:spacing w:line="360" w:lineRule="auto"/>
      <w:ind w:firstLine="560" w:firstLineChars="200"/>
    </w:pPr>
    <w:rPr>
      <w:rFonts w:ascii="仿宋_GB2312" w:hAnsi="宋体" w:eastAsia="仿宋_GB2312" w:cs="宋体"/>
      <w:kern w:val="0"/>
      <w:sz w:val="28"/>
    </w:rPr>
  </w:style>
  <w:style w:type="paragraph" w:customStyle="1" w:styleId="1160">
    <w:name w:val="样式 样式 左侧:  0.98 厘米 + 左侧:  0.49 厘米 首行缩进:  2 字符 右侧:  0.49 厘米"/>
    <w:basedOn w:val="415"/>
    <w:qFormat/>
    <w:uiPriority w:val="0"/>
    <w:pPr>
      <w:spacing w:line="360" w:lineRule="auto"/>
    </w:pPr>
    <w:rPr>
      <w:rFonts w:hint="eastAsia" w:ascii="仿宋_GB2312" w:cs="宋体"/>
      <w:color w:val="auto"/>
    </w:rPr>
  </w:style>
  <w:style w:type="paragraph" w:customStyle="1" w:styleId="1161">
    <w:name w:val="正文样式1"/>
    <w:basedOn w:val="1"/>
    <w:qFormat/>
    <w:uiPriority w:val="0"/>
    <w:pPr>
      <w:adjustRightInd w:val="0"/>
      <w:snapToGrid w:val="0"/>
      <w:spacing w:line="360" w:lineRule="auto"/>
      <w:ind w:firstLine="482"/>
    </w:pPr>
    <w:rPr>
      <w:kern w:val="0"/>
      <w:sz w:val="24"/>
    </w:rPr>
  </w:style>
  <w:style w:type="paragraph" w:customStyle="1" w:styleId="1162">
    <w:name w:val="样式 首行缩进:  1 字符"/>
    <w:basedOn w:val="1"/>
    <w:qFormat/>
    <w:uiPriority w:val="0"/>
    <w:pPr>
      <w:adjustRightInd w:val="0"/>
      <w:snapToGrid w:val="0"/>
      <w:spacing w:line="360" w:lineRule="auto"/>
      <w:ind w:firstLine="200" w:firstLineChars="200"/>
    </w:pPr>
    <w:rPr>
      <w:rFonts w:eastAsia="仿宋_GB2312" w:cs="宋体"/>
      <w:sz w:val="28"/>
    </w:rPr>
  </w:style>
  <w:style w:type="paragraph" w:customStyle="1" w:styleId="1163">
    <w:name w:val="样式 正文文本缩进 + 仿宋_GB2312 四号"/>
    <w:basedOn w:val="3"/>
    <w:qFormat/>
    <w:uiPriority w:val="0"/>
    <w:pPr>
      <w:adjustRightInd w:val="0"/>
      <w:ind w:firstLine="200" w:firstLineChars="200"/>
    </w:pPr>
    <w:rPr>
      <w:rFonts w:ascii="仿宋_GB2312" w:hAnsi="仿宋_GB2312" w:eastAsia="仿宋_GB2312"/>
      <w:color w:val="auto"/>
      <w:sz w:val="28"/>
    </w:rPr>
  </w:style>
  <w:style w:type="paragraph" w:customStyle="1" w:styleId="1164">
    <w:name w:val="样式 2 + 仿宋_GB2312 四号"/>
    <w:basedOn w:val="6"/>
    <w:qFormat/>
    <w:uiPriority w:val="0"/>
    <w:pPr>
      <w:keepNext w:val="0"/>
      <w:tabs>
        <w:tab w:val="left" w:pos="432"/>
      </w:tabs>
      <w:spacing w:line="360" w:lineRule="auto"/>
      <w:ind w:firstLine="560" w:firstLineChars="200"/>
      <w:jc w:val="both"/>
      <w:outlineLvl w:val="9"/>
    </w:pPr>
    <w:rPr>
      <w:rFonts w:ascii="仿宋_GB2312" w:hAnsi="仿宋_GB2312" w:eastAsia="仿宋_GB2312"/>
      <w:sz w:val="28"/>
    </w:rPr>
  </w:style>
  <w:style w:type="paragraph" w:customStyle="1" w:styleId="1165">
    <w:name w:val="样式 样式 2 + 仿宋_GB2312 四号 + 首行缩进:  2 字符"/>
    <w:basedOn w:val="1164"/>
    <w:qFormat/>
    <w:uiPriority w:val="0"/>
    <w:pPr>
      <w:adjustRightInd w:val="0"/>
      <w:snapToGrid w:val="0"/>
      <w:ind w:firstLine="200"/>
    </w:pPr>
    <w:rPr>
      <w:rFonts w:cs="宋体"/>
    </w:rPr>
  </w:style>
  <w:style w:type="paragraph" w:customStyle="1" w:styleId="1166">
    <w:name w:val="样式 2 + 仿宋_GB2312 四号 段后: 0 磅 行距: 1.5 倍行距"/>
    <w:basedOn w:val="6"/>
    <w:qFormat/>
    <w:uiPriority w:val="0"/>
    <w:pPr>
      <w:keepNext w:val="0"/>
      <w:tabs>
        <w:tab w:val="left" w:pos="432"/>
      </w:tabs>
      <w:adjustRightInd w:val="0"/>
      <w:snapToGrid w:val="0"/>
      <w:ind w:firstLine="420" w:firstLineChars="200"/>
      <w:jc w:val="both"/>
      <w:outlineLvl w:val="9"/>
    </w:pPr>
    <w:rPr>
      <w:rFonts w:ascii="宋体" w:hAnsi="宋体" w:cs="宋体"/>
      <w:color w:val="FF00FF"/>
      <w:sz w:val="21"/>
      <w:szCs w:val="21"/>
    </w:rPr>
  </w:style>
  <w:style w:type="paragraph" w:customStyle="1" w:styleId="1167">
    <w:name w:val="样式 2 + (中文) 仿宋_GB2312 四号"/>
    <w:basedOn w:val="6"/>
    <w:qFormat/>
    <w:uiPriority w:val="0"/>
    <w:pPr>
      <w:keepNext w:val="0"/>
      <w:tabs>
        <w:tab w:val="left" w:pos="432"/>
      </w:tabs>
      <w:adjustRightInd w:val="0"/>
      <w:snapToGrid w:val="0"/>
      <w:spacing w:line="360" w:lineRule="auto"/>
      <w:ind w:firstLine="200" w:firstLineChars="200"/>
      <w:jc w:val="both"/>
      <w:outlineLvl w:val="9"/>
    </w:pPr>
    <w:rPr>
      <w:rFonts w:eastAsia="仿宋_GB2312"/>
      <w:sz w:val="28"/>
    </w:rPr>
  </w:style>
  <w:style w:type="paragraph" w:customStyle="1" w:styleId="1168">
    <w:name w:val="样式 2 + 段后: 0 磅 行距: 1.5 倍行距"/>
    <w:basedOn w:val="6"/>
    <w:qFormat/>
    <w:uiPriority w:val="0"/>
    <w:pPr>
      <w:keepNext w:val="0"/>
      <w:tabs>
        <w:tab w:val="left" w:pos="432"/>
      </w:tabs>
      <w:adjustRightInd w:val="0"/>
      <w:snapToGrid w:val="0"/>
      <w:spacing w:line="360" w:lineRule="auto"/>
      <w:ind w:firstLine="200" w:firstLineChars="200"/>
      <w:jc w:val="both"/>
      <w:outlineLvl w:val="9"/>
    </w:pPr>
    <w:rPr>
      <w:rFonts w:cs="宋体"/>
      <w:sz w:val="21"/>
    </w:rPr>
  </w:style>
  <w:style w:type="paragraph" w:customStyle="1" w:styleId="1169">
    <w:name w:val="样式  + 仿宋_GB2312 四号 段后: 0 磅 行距: 1.5 倍行距"/>
    <w:basedOn w:val="1"/>
    <w:qFormat/>
    <w:uiPriority w:val="0"/>
    <w:pPr>
      <w:adjustRightInd w:val="0"/>
      <w:snapToGrid w:val="0"/>
      <w:spacing w:line="360" w:lineRule="auto"/>
      <w:ind w:firstLine="200" w:firstLineChars="200"/>
    </w:pPr>
    <w:rPr>
      <w:rFonts w:ascii="仿宋_GB2312" w:eastAsia="仿宋_GB2312" w:cs="宋体"/>
      <w:sz w:val="28"/>
    </w:rPr>
  </w:style>
  <w:style w:type="paragraph" w:customStyle="1" w:styleId="1170">
    <w:name w:val="样式 仿宋_GB2312 首行缩进:  5 字符"/>
    <w:basedOn w:val="1"/>
    <w:qFormat/>
    <w:uiPriority w:val="0"/>
    <w:pPr>
      <w:adjustRightInd w:val="0"/>
      <w:snapToGrid w:val="0"/>
      <w:spacing w:line="360" w:lineRule="auto"/>
      <w:ind w:firstLine="500" w:firstLineChars="500"/>
    </w:pPr>
    <w:rPr>
      <w:rFonts w:ascii="仿宋_GB2312" w:eastAsia="仿宋_GB2312" w:cs="宋体"/>
      <w:sz w:val="28"/>
    </w:rPr>
  </w:style>
  <w:style w:type="paragraph" w:customStyle="1" w:styleId="1171">
    <w:name w:val="样式 正文文本缩进 + 仿宋_GB2312 四号1"/>
    <w:basedOn w:val="3"/>
    <w:qFormat/>
    <w:uiPriority w:val="0"/>
    <w:pPr>
      <w:adjustRightInd w:val="0"/>
      <w:ind w:firstLine="200" w:firstLineChars="200"/>
    </w:pPr>
    <w:rPr>
      <w:rFonts w:ascii="仿宋_GB2312" w:hAnsi="仿宋_GB2312" w:eastAsia="仿宋_GB2312"/>
      <w:color w:val="auto"/>
      <w:kern w:val="0"/>
      <w:sz w:val="28"/>
    </w:rPr>
  </w:style>
  <w:style w:type="paragraph" w:customStyle="1" w:styleId="1172">
    <w:name w:val="样式 首行缩进:  1.5 字符"/>
    <w:basedOn w:val="1"/>
    <w:qFormat/>
    <w:uiPriority w:val="0"/>
    <w:pPr>
      <w:adjustRightInd w:val="0"/>
      <w:snapToGrid w:val="0"/>
      <w:spacing w:line="360" w:lineRule="auto"/>
      <w:ind w:firstLine="200" w:firstLineChars="200"/>
    </w:pPr>
    <w:rPr>
      <w:rFonts w:eastAsia="仿宋_GB2312" w:cs="宋体"/>
      <w:sz w:val="28"/>
    </w:rPr>
  </w:style>
  <w:style w:type="paragraph" w:customStyle="1" w:styleId="1173">
    <w:name w:val="样式 样式 样式 首行缩进:  1.5 字符 + 首行缩进:  2 字符 + 首行缩进:  2 字符"/>
    <w:basedOn w:val="669"/>
    <w:qFormat/>
    <w:uiPriority w:val="0"/>
  </w:style>
  <w:style w:type="paragraph" w:customStyle="1" w:styleId="1174">
    <w:name w:val="样式 仿宋_GB2312 首行缩进:  2 字符"/>
    <w:basedOn w:val="1"/>
    <w:qFormat/>
    <w:uiPriority w:val="0"/>
    <w:pPr>
      <w:adjustRightInd w:val="0"/>
      <w:snapToGrid w:val="0"/>
      <w:spacing w:line="360" w:lineRule="auto"/>
      <w:ind w:firstLine="200" w:firstLineChars="200"/>
    </w:pPr>
    <w:rPr>
      <w:rFonts w:ascii="仿宋_GB2312" w:eastAsia="仿宋_GB2312" w:cs="宋体"/>
      <w:sz w:val="28"/>
    </w:rPr>
  </w:style>
  <w:style w:type="paragraph" w:customStyle="1" w:styleId="1175">
    <w:name w:val="样式 标题 2标题 1.1节标题 1.1标题 yjm2第一章 标题 2Heading 2 HiddenHeading...2"/>
    <w:basedOn w:val="6"/>
    <w:qFormat/>
    <w:uiPriority w:val="0"/>
    <w:pPr>
      <w:tabs>
        <w:tab w:val="left" w:pos="538"/>
        <w:tab w:val="left" w:pos="786"/>
      </w:tabs>
      <w:adjustRightInd w:val="0"/>
      <w:snapToGrid w:val="0"/>
      <w:spacing w:beforeLines="50" w:line="360" w:lineRule="auto"/>
      <w:ind w:left="578" w:hanging="578"/>
      <w:jc w:val="left"/>
    </w:pPr>
    <w:rPr>
      <w:rFonts w:ascii="Arial" w:hAnsi="Arial" w:eastAsia="黑体"/>
      <w:kern w:val="0"/>
      <w:sz w:val="32"/>
      <w:szCs w:val="32"/>
    </w:rPr>
  </w:style>
  <w:style w:type="character" w:customStyle="1" w:styleId="1176">
    <w:name w:val="表中文字 Char2"/>
    <w:qFormat/>
    <w:uiPriority w:val="0"/>
    <w:rPr>
      <w:rFonts w:hint="eastAsia" w:ascii="仿宋_GB2312" w:eastAsia="仿宋_GB2312"/>
      <w:kern w:val="2"/>
      <w:sz w:val="28"/>
      <w:szCs w:val="28"/>
      <w:lang w:val="en-US" w:eastAsia="zh-CN" w:bidi="ar-SA"/>
    </w:rPr>
  </w:style>
  <w:style w:type="character" w:customStyle="1" w:styleId="1177">
    <w:name w:val="样式 左侧:  0.98 厘米 Char"/>
    <w:qFormat/>
    <w:uiPriority w:val="0"/>
    <w:rPr>
      <w:rFonts w:hint="eastAsia" w:ascii="仿宋_GB2312" w:eastAsia="仿宋_GB2312" w:cs="宋体"/>
      <w:kern w:val="2"/>
      <w:sz w:val="28"/>
      <w:lang w:val="en-US" w:eastAsia="zh-CN" w:bidi="ar-SA"/>
    </w:rPr>
  </w:style>
  <w:style w:type="character" w:customStyle="1" w:styleId="1178">
    <w:name w:val="样式 样式 左侧:  0.98 厘米 + 首行缩进:  2 字符 Char"/>
    <w:qFormat/>
    <w:uiPriority w:val="0"/>
    <w:rPr>
      <w:rFonts w:hint="eastAsia" w:ascii="幼圆" w:hAnsi="幼圆" w:eastAsia="仿宋_GB2312" w:cs="宋体"/>
      <w:kern w:val="2"/>
      <w:sz w:val="28"/>
      <w:lang w:val="en-US" w:eastAsia="zh-CN" w:bidi="ar-SA"/>
    </w:rPr>
  </w:style>
  <w:style w:type="character" w:customStyle="1" w:styleId="1179">
    <w:name w:val="样式 左侧:  0.49 厘米 首行缩进:  2 字符 右侧:  0.49 厘米 Char"/>
    <w:qFormat/>
    <w:uiPriority w:val="0"/>
    <w:rPr>
      <w:rFonts w:hint="eastAsia" w:ascii="仿宋_GB2312" w:eastAsia="仿宋_GB2312" w:cs="宋体"/>
      <w:kern w:val="2"/>
      <w:sz w:val="28"/>
      <w:lang w:val="en-US" w:eastAsia="zh-CN" w:bidi="ar-SA"/>
    </w:rPr>
  </w:style>
  <w:style w:type="character" w:customStyle="1" w:styleId="1180">
    <w:name w:val="样式 (西文) 仿宋_GB2312 (符号) 宋体 左侧:  0.49 厘米 右侧:  0.49 厘米 首行缩进:  2... Char"/>
    <w:qFormat/>
    <w:uiPriority w:val="0"/>
    <w:rPr>
      <w:rFonts w:hint="eastAsia" w:ascii="仿宋_GB2312" w:hAnsi="宋体" w:eastAsia="仿宋_GB2312" w:cs="宋体"/>
      <w:sz w:val="28"/>
      <w:lang w:val="en-US" w:eastAsia="zh-CN" w:bidi="ar-SA"/>
    </w:rPr>
  </w:style>
  <w:style w:type="character" w:customStyle="1" w:styleId="1181">
    <w:name w:val="样式 正文文本缩进 + 仿宋_GB2312 四号 Char"/>
    <w:qFormat/>
    <w:uiPriority w:val="0"/>
    <w:rPr>
      <w:rFonts w:hint="eastAsia" w:ascii="仿宋_GB2312" w:hAnsi="仿宋_GB2312" w:eastAsia="仿宋_GB2312"/>
      <w:kern w:val="2"/>
      <w:sz w:val="28"/>
      <w:lang w:val="en-US" w:eastAsia="zh-CN" w:bidi="ar-SA"/>
    </w:rPr>
  </w:style>
  <w:style w:type="character" w:customStyle="1" w:styleId="1182">
    <w:name w:val="样式 2 + 仿宋_GB2312 四号 Char"/>
    <w:qFormat/>
    <w:uiPriority w:val="0"/>
    <w:rPr>
      <w:rFonts w:hint="eastAsia" w:ascii="仿宋_GB2312" w:hAnsi="仿宋_GB2312" w:eastAsia="仿宋_GB2312"/>
      <w:kern w:val="2"/>
      <w:sz w:val="28"/>
      <w:lang w:val="en-US" w:eastAsia="zh-CN" w:bidi="ar-SA"/>
    </w:rPr>
  </w:style>
  <w:style w:type="character" w:customStyle="1" w:styleId="1183">
    <w:name w:val="样式 2 + (中文) 仿宋_GB2312 四号 Char"/>
    <w:qFormat/>
    <w:uiPriority w:val="0"/>
    <w:rPr>
      <w:rFonts w:hint="eastAsia" w:ascii="仿宋_GB2312" w:eastAsia="仿宋_GB2312"/>
      <w:kern w:val="2"/>
      <w:sz w:val="28"/>
      <w:lang w:val="en-US" w:eastAsia="zh-CN" w:bidi="ar-SA"/>
    </w:rPr>
  </w:style>
  <w:style w:type="character" w:customStyle="1" w:styleId="1184">
    <w:name w:val="标题 7表内5号 Char Char"/>
    <w:qFormat/>
    <w:uiPriority w:val="0"/>
    <w:rPr>
      <w:rFonts w:hint="eastAsia" w:ascii="宋体" w:hAnsi="宋体" w:eastAsia="宋体"/>
      <w:b/>
      <w:bCs/>
      <w:kern w:val="2"/>
      <w:sz w:val="24"/>
      <w:szCs w:val="24"/>
      <w:lang w:val="en-US" w:eastAsia="zh-CN" w:bidi="ar-SA"/>
    </w:rPr>
  </w:style>
  <w:style w:type="character" w:customStyle="1" w:styleId="1185">
    <w:name w:val="Char Char30"/>
    <w:qFormat/>
    <w:uiPriority w:val="0"/>
    <w:rPr>
      <w:kern w:val="2"/>
      <w:sz w:val="21"/>
    </w:rPr>
  </w:style>
  <w:style w:type="character" w:customStyle="1" w:styleId="1186">
    <w:name w:val="Char Char26"/>
    <w:qFormat/>
    <w:uiPriority w:val="0"/>
    <w:rPr>
      <w:rFonts w:ascii="Times New Roman" w:hAnsi="Times New Roman" w:eastAsia="宋体" w:cs="Times New Roman"/>
      <w:sz w:val="18"/>
      <w:szCs w:val="20"/>
    </w:rPr>
  </w:style>
  <w:style w:type="paragraph" w:customStyle="1" w:styleId="1187">
    <w:name w:val="Char Char2 Char Char1"/>
    <w:basedOn w:val="1"/>
    <w:next w:val="1"/>
    <w:qFormat/>
    <w:uiPriority w:val="0"/>
    <w:pPr>
      <w:keepNext/>
      <w:keepLines/>
      <w:widowControl/>
      <w:adjustRightInd w:val="0"/>
      <w:spacing w:before="360" w:after="480" w:line="360" w:lineRule="auto"/>
      <w:ind w:firstLine="200" w:firstLineChars="200"/>
      <w:jc w:val="left"/>
      <w:textAlignment w:val="baseline"/>
      <w:outlineLvl w:val="1"/>
    </w:pPr>
    <w:rPr>
      <w:sz w:val="24"/>
      <w:szCs w:val="24"/>
    </w:rPr>
  </w:style>
  <w:style w:type="paragraph" w:customStyle="1" w:styleId="1188">
    <w:name w:val="Char Char Char Char1 Char Char1"/>
    <w:basedOn w:val="1"/>
    <w:qFormat/>
    <w:uiPriority w:val="0"/>
    <w:pPr>
      <w:spacing w:line="360" w:lineRule="auto"/>
      <w:ind w:firstLine="200" w:firstLineChars="200"/>
    </w:pPr>
    <w:rPr>
      <w:b/>
      <w:color w:val="000000"/>
      <w:sz w:val="24"/>
    </w:rPr>
  </w:style>
  <w:style w:type="paragraph" w:customStyle="1" w:styleId="1189">
    <w:name w:val="Char Char22 Char Char Char Char2"/>
    <w:basedOn w:val="1"/>
    <w:qFormat/>
    <w:uiPriority w:val="0"/>
    <w:rPr>
      <w:szCs w:val="21"/>
    </w:rPr>
  </w:style>
  <w:style w:type="paragraph" w:customStyle="1" w:styleId="1190">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EBF1DE"/>
      <w:spacing w:before="100" w:beforeAutospacing="1" w:after="100" w:afterAutospacing="1"/>
      <w:jc w:val="center"/>
    </w:pPr>
    <w:rPr>
      <w:color w:val="FF0000"/>
      <w:kern w:val="0"/>
      <w:sz w:val="24"/>
      <w:szCs w:val="24"/>
    </w:rPr>
  </w:style>
  <w:style w:type="paragraph" w:customStyle="1" w:styleId="1191">
    <w:name w:val="xl98"/>
    <w:basedOn w:val="1"/>
    <w:qFormat/>
    <w:uiPriority w:val="0"/>
    <w:pPr>
      <w:widowControl/>
      <w:spacing w:before="100" w:beforeAutospacing="1" w:after="100" w:afterAutospacing="1"/>
      <w:jc w:val="center"/>
    </w:pPr>
    <w:rPr>
      <w:color w:val="FF0000"/>
      <w:kern w:val="0"/>
      <w:sz w:val="24"/>
      <w:szCs w:val="24"/>
    </w:rPr>
  </w:style>
  <w:style w:type="paragraph" w:customStyle="1" w:styleId="1192">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93">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9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szCs w:val="24"/>
    </w:rPr>
  </w:style>
  <w:style w:type="paragraph" w:customStyle="1" w:styleId="1195">
    <w:name w:val="xl10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4"/>
      <w:szCs w:val="24"/>
    </w:rPr>
  </w:style>
  <w:style w:type="paragraph" w:customStyle="1" w:styleId="1196">
    <w:name w:val="xl103"/>
    <w:basedOn w:val="1"/>
    <w:qFormat/>
    <w:uiPriority w:val="0"/>
    <w:pPr>
      <w:widowControl/>
      <w:pBdr>
        <w:top w:val="single" w:color="auto" w:sz="4" w:space="0"/>
        <w:bottom w:val="single" w:color="auto" w:sz="4" w:space="0"/>
      </w:pBdr>
      <w:spacing w:before="100" w:beforeAutospacing="1" w:after="100" w:afterAutospacing="1"/>
      <w:jc w:val="center"/>
    </w:pPr>
    <w:rPr>
      <w:kern w:val="0"/>
      <w:sz w:val="24"/>
      <w:szCs w:val="24"/>
    </w:rPr>
  </w:style>
  <w:style w:type="paragraph" w:customStyle="1" w:styleId="1197">
    <w:name w:val="xl10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kern w:val="0"/>
      <w:sz w:val="24"/>
      <w:szCs w:val="24"/>
    </w:rPr>
  </w:style>
  <w:style w:type="paragraph" w:customStyle="1" w:styleId="1198">
    <w:name w:val="xl105"/>
    <w:basedOn w:val="1"/>
    <w:qFormat/>
    <w:uiPriority w:val="0"/>
    <w:pPr>
      <w:widowControl/>
      <w:pBdr>
        <w:right w:val="single" w:color="auto" w:sz="4" w:space="0"/>
      </w:pBdr>
      <w:spacing w:before="100" w:beforeAutospacing="1" w:after="100" w:afterAutospacing="1"/>
      <w:jc w:val="center"/>
    </w:pPr>
    <w:rPr>
      <w:kern w:val="0"/>
      <w:sz w:val="24"/>
      <w:szCs w:val="24"/>
    </w:rPr>
  </w:style>
  <w:style w:type="paragraph" w:customStyle="1" w:styleId="1199">
    <w:name w:val="列出段落2"/>
    <w:basedOn w:val="1"/>
    <w:qFormat/>
    <w:uiPriority w:val="34"/>
    <w:pPr>
      <w:ind w:firstLine="420" w:firstLineChars="200"/>
    </w:pPr>
  </w:style>
  <w:style w:type="paragraph" w:customStyle="1" w:styleId="1200">
    <w:name w:val="正文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01">
    <w:name w:val="麦志勤正文"/>
    <w:basedOn w:val="1"/>
    <w:link w:val="1202"/>
    <w:qFormat/>
    <w:uiPriority w:val="0"/>
    <w:pPr>
      <w:adjustRightInd w:val="0"/>
      <w:snapToGrid w:val="0"/>
      <w:spacing w:beforeLines="20" w:line="300" w:lineRule="auto"/>
      <w:ind w:firstLine="200" w:firstLineChars="200"/>
    </w:pPr>
    <w:rPr>
      <w:rFonts w:ascii="宋体" w:hAnsi="宋体"/>
      <w:sz w:val="24"/>
    </w:rPr>
  </w:style>
  <w:style w:type="character" w:customStyle="1" w:styleId="1202">
    <w:name w:val="麦志勤正文 Char1"/>
    <w:link w:val="1201"/>
    <w:qFormat/>
    <w:uiPriority w:val="0"/>
    <w:rPr>
      <w:rFonts w:ascii="宋体" w:hAnsi="宋体" w:eastAsia="宋体" w:cs="Times New Roman"/>
      <w:sz w:val="24"/>
      <w:szCs w:val="20"/>
    </w:rPr>
  </w:style>
  <w:style w:type="paragraph" w:customStyle="1" w:styleId="1203">
    <w:name w:val="中大表格标题"/>
    <w:basedOn w:val="1"/>
    <w:link w:val="1204"/>
    <w:qFormat/>
    <w:uiPriority w:val="0"/>
    <w:pPr>
      <w:spacing w:beforeLines="50"/>
      <w:jc w:val="center"/>
    </w:pPr>
    <w:rPr>
      <w:b/>
      <w:bCs/>
      <w:kern w:val="0"/>
      <w:sz w:val="24"/>
    </w:rPr>
  </w:style>
  <w:style w:type="character" w:customStyle="1" w:styleId="1204">
    <w:name w:val="中大表格标题 Char"/>
    <w:link w:val="1203"/>
    <w:qFormat/>
    <w:uiPriority w:val="0"/>
    <w:rPr>
      <w:rFonts w:ascii="Times New Roman" w:hAnsi="Times New Roman" w:eastAsia="宋体" w:cs="Times New Roman"/>
      <w:b/>
      <w:bCs/>
      <w:kern w:val="0"/>
      <w:sz w:val="24"/>
      <w:szCs w:val="20"/>
    </w:rPr>
  </w:style>
  <w:style w:type="character" w:customStyle="1" w:styleId="1205">
    <w:name w:val="表名 Char3"/>
    <w:qFormat/>
    <w:uiPriority w:val="0"/>
    <w:rPr>
      <w:rFonts w:ascii="黑体" w:hAnsi="Arial" w:eastAsia="黑体" w:cs="宋体"/>
      <w:sz w:val="24"/>
      <w:lang w:val="en-US" w:eastAsia="zh-CN" w:bidi="ar-SA"/>
    </w:rPr>
  </w:style>
  <w:style w:type="paragraph" w:customStyle="1" w:styleId="1206">
    <w:name w:val="题注，居中，宋体，五号"/>
    <w:basedOn w:val="23"/>
    <w:qFormat/>
    <w:uiPriority w:val="0"/>
    <w:pPr>
      <w:snapToGrid/>
      <w:spacing w:before="0" w:after="0" w:line="460" w:lineRule="exact"/>
      <w:ind w:firstLine="0" w:firstLineChars="0"/>
      <w:jc w:val="center"/>
    </w:pPr>
    <w:rPr>
      <w:rFonts w:ascii="Times New Roman" w:hAnsi="Times New Roman" w:cs="Times New Roman"/>
      <w:b/>
      <w:szCs w:val="24"/>
    </w:rPr>
  </w:style>
  <w:style w:type="paragraph" w:customStyle="1" w:styleId="1207">
    <w:name w:val="样式 样式（ 表格jf ）"/>
    <w:basedOn w:val="236"/>
    <w:qFormat/>
    <w:uiPriority w:val="0"/>
    <w:pPr>
      <w:widowControl/>
      <w:adjustRightInd/>
      <w:snapToGrid/>
      <w:spacing w:before="0" w:beforeAutospacing="0" w:after="0" w:afterAutospacing="0" w:line="360" w:lineRule="auto"/>
      <w:jc w:val="left"/>
    </w:pPr>
    <w:rPr>
      <w:rFonts w:ascii="Times New Roman" w:hAnsi="Times New Roman" w:cs="宋体"/>
      <w:snapToGrid/>
      <w:color w:val="auto"/>
      <w:szCs w:val="21"/>
    </w:rPr>
  </w:style>
  <w:style w:type="paragraph" w:customStyle="1" w:styleId="1208">
    <w:name w:val="表格-jf"/>
    <w:basedOn w:val="1207"/>
    <w:qFormat/>
    <w:uiPriority w:val="0"/>
  </w:style>
  <w:style w:type="paragraph" w:customStyle="1" w:styleId="1209">
    <w:name w:val="标题一"/>
    <w:basedOn w:val="5"/>
    <w:qFormat/>
    <w:uiPriority w:val="0"/>
    <w:pPr>
      <w:keepLines/>
      <w:pageBreakBefore/>
      <w:widowControl/>
      <w:snapToGrid w:val="0"/>
      <w:spacing w:line="360" w:lineRule="auto"/>
      <w:ind w:left="425" w:hanging="425"/>
    </w:pPr>
    <w:rPr>
      <w:rFonts w:eastAsia="华文新魏"/>
      <w:kern w:val="44"/>
      <w:sz w:val="48"/>
      <w:szCs w:val="24"/>
    </w:rPr>
  </w:style>
  <w:style w:type="paragraph" w:customStyle="1" w:styleId="1210">
    <w:name w:val="标题二-1"/>
    <w:basedOn w:val="6"/>
    <w:qFormat/>
    <w:uiPriority w:val="0"/>
    <w:pPr>
      <w:keepLines/>
      <w:tabs>
        <w:tab w:val="left" w:pos="360"/>
      </w:tabs>
      <w:spacing w:line="416" w:lineRule="auto"/>
      <w:ind w:left="360" w:hanging="360" w:hangingChars="200"/>
      <w:jc w:val="both"/>
    </w:pPr>
    <w:rPr>
      <w:rFonts w:ascii="黑体" w:hAnsi="黑体" w:eastAsia="黑体"/>
      <w:bCs/>
      <w:sz w:val="32"/>
      <w:szCs w:val="32"/>
    </w:rPr>
  </w:style>
  <w:style w:type="character" w:customStyle="1" w:styleId="1211">
    <w:name w:val="报告正文 Char"/>
    <w:link w:val="284"/>
    <w:qFormat/>
    <w:uiPriority w:val="0"/>
    <w:rPr>
      <w:rFonts w:ascii="Times New Roman" w:hAnsi="宋体" w:eastAsia="宋体" w:cs="Times New Roman"/>
      <w:sz w:val="24"/>
      <w:szCs w:val="24"/>
    </w:rPr>
  </w:style>
  <w:style w:type="character" w:customStyle="1" w:styleId="1212">
    <w:name w:val="表文 Char Char"/>
    <w:qFormat/>
    <w:uiPriority w:val="0"/>
    <w:rPr>
      <w:rFonts w:ascii="Times New Roman" w:hAnsi="Times New Roman" w:eastAsia="宋体" w:cs="Times New Roman"/>
      <w:sz w:val="24"/>
      <w:szCs w:val="20"/>
    </w:rPr>
  </w:style>
  <w:style w:type="paragraph" w:customStyle="1" w:styleId="1213">
    <w:name w:val="表格文字1"/>
    <w:basedOn w:val="44"/>
    <w:qFormat/>
    <w:uiPriority w:val="0"/>
    <w:pPr>
      <w:widowControl/>
      <w:topLinePunct/>
      <w:adjustRightInd w:val="0"/>
      <w:snapToGrid w:val="0"/>
      <w:jc w:val="center"/>
    </w:pPr>
    <w:rPr>
      <w:rFonts w:hAnsi="宋体" w:cs="Arial"/>
      <w:szCs w:val="21"/>
    </w:rPr>
  </w:style>
  <w:style w:type="character" w:customStyle="1" w:styleId="1214">
    <w:name w:val="未处理的提及2"/>
    <w:basedOn w:val="131"/>
    <w:semiHidden/>
    <w:unhideWhenUsed/>
    <w:qFormat/>
    <w:uiPriority w:val="99"/>
    <w:rPr>
      <w:color w:val="605E5C"/>
      <w:shd w:val="clear" w:color="auto" w:fill="E1DFDD"/>
    </w:rPr>
  </w:style>
  <w:style w:type="character" w:customStyle="1" w:styleId="1215">
    <w:name w:val="（正文） Char"/>
    <w:link w:val="1216"/>
    <w:qFormat/>
    <w:uiPriority w:val="0"/>
    <w:rPr>
      <w:kern w:val="2"/>
      <w:sz w:val="24"/>
    </w:rPr>
  </w:style>
  <w:style w:type="paragraph" w:customStyle="1" w:styleId="1216">
    <w:name w:val="（正文）"/>
    <w:basedOn w:val="1"/>
    <w:link w:val="1215"/>
    <w:qFormat/>
    <w:uiPriority w:val="0"/>
    <w:pPr>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49.wmf"/><Relationship Id="rId98" Type="http://schemas.openxmlformats.org/officeDocument/2006/relationships/oleObject" Target="embeddings/oleObject41.bin"/><Relationship Id="rId97" Type="http://schemas.openxmlformats.org/officeDocument/2006/relationships/image" Target="media/image48.wmf"/><Relationship Id="rId96" Type="http://schemas.openxmlformats.org/officeDocument/2006/relationships/oleObject" Target="embeddings/oleObject40.bin"/><Relationship Id="rId95" Type="http://schemas.openxmlformats.org/officeDocument/2006/relationships/image" Target="media/image47.wmf"/><Relationship Id="rId94" Type="http://schemas.openxmlformats.org/officeDocument/2006/relationships/oleObject" Target="embeddings/oleObject39.bin"/><Relationship Id="rId93" Type="http://schemas.openxmlformats.org/officeDocument/2006/relationships/image" Target="media/image46.wmf"/><Relationship Id="rId92" Type="http://schemas.openxmlformats.org/officeDocument/2006/relationships/oleObject" Target="embeddings/oleObject38.bin"/><Relationship Id="rId91" Type="http://schemas.openxmlformats.org/officeDocument/2006/relationships/image" Target="media/image45.wmf"/><Relationship Id="rId90" Type="http://schemas.openxmlformats.org/officeDocument/2006/relationships/oleObject" Target="embeddings/oleObject37.bin"/><Relationship Id="rId9" Type="http://schemas.openxmlformats.org/officeDocument/2006/relationships/theme" Target="theme/theme1.xml"/><Relationship Id="rId89" Type="http://schemas.openxmlformats.org/officeDocument/2006/relationships/image" Target="media/image44.jpeg"/><Relationship Id="rId88" Type="http://schemas.openxmlformats.org/officeDocument/2006/relationships/image" Target="media/image43.jpeg"/><Relationship Id="rId87" Type="http://schemas.openxmlformats.org/officeDocument/2006/relationships/image" Target="media/image42.wmf"/><Relationship Id="rId86" Type="http://schemas.openxmlformats.org/officeDocument/2006/relationships/oleObject" Target="embeddings/oleObject36.bin"/><Relationship Id="rId85" Type="http://schemas.openxmlformats.org/officeDocument/2006/relationships/image" Target="media/image41.wmf"/><Relationship Id="rId84" Type="http://schemas.openxmlformats.org/officeDocument/2006/relationships/oleObject" Target="embeddings/oleObject35.bin"/><Relationship Id="rId83" Type="http://schemas.openxmlformats.org/officeDocument/2006/relationships/image" Target="media/image40.wmf"/><Relationship Id="rId82" Type="http://schemas.openxmlformats.org/officeDocument/2006/relationships/oleObject" Target="embeddings/oleObject34.bin"/><Relationship Id="rId81" Type="http://schemas.openxmlformats.org/officeDocument/2006/relationships/image" Target="media/image39.wmf"/><Relationship Id="rId80" Type="http://schemas.openxmlformats.org/officeDocument/2006/relationships/oleObject" Target="embeddings/oleObject33.bin"/><Relationship Id="rId8" Type="http://schemas.openxmlformats.org/officeDocument/2006/relationships/footer" Target="footer5.xml"/><Relationship Id="rId79" Type="http://schemas.openxmlformats.org/officeDocument/2006/relationships/image" Target="media/image38.wmf"/><Relationship Id="rId78" Type="http://schemas.openxmlformats.org/officeDocument/2006/relationships/oleObject" Target="embeddings/oleObject32.bin"/><Relationship Id="rId77" Type="http://schemas.openxmlformats.org/officeDocument/2006/relationships/image" Target="media/image37.jpeg"/><Relationship Id="rId76" Type="http://schemas.openxmlformats.org/officeDocument/2006/relationships/oleObject" Target="embeddings/oleObject31.bin"/><Relationship Id="rId75" Type="http://schemas.openxmlformats.org/officeDocument/2006/relationships/image" Target="media/image36.wmf"/><Relationship Id="rId74" Type="http://schemas.openxmlformats.org/officeDocument/2006/relationships/oleObject" Target="embeddings/oleObject30.bin"/><Relationship Id="rId73" Type="http://schemas.openxmlformats.org/officeDocument/2006/relationships/image" Target="media/image35.wmf"/><Relationship Id="rId72" Type="http://schemas.openxmlformats.org/officeDocument/2006/relationships/oleObject" Target="embeddings/oleObject29.bin"/><Relationship Id="rId71" Type="http://schemas.openxmlformats.org/officeDocument/2006/relationships/image" Target="media/image34.wmf"/><Relationship Id="rId70" Type="http://schemas.openxmlformats.org/officeDocument/2006/relationships/oleObject" Target="embeddings/oleObject28.bin"/><Relationship Id="rId7" Type="http://schemas.openxmlformats.org/officeDocument/2006/relationships/footer" Target="footer4.xml"/><Relationship Id="rId69" Type="http://schemas.openxmlformats.org/officeDocument/2006/relationships/image" Target="media/image33.wmf"/><Relationship Id="rId68" Type="http://schemas.openxmlformats.org/officeDocument/2006/relationships/oleObject" Target="embeddings/oleObject27.bin"/><Relationship Id="rId67" Type="http://schemas.openxmlformats.org/officeDocument/2006/relationships/image" Target="media/image32.wmf"/><Relationship Id="rId66" Type="http://schemas.openxmlformats.org/officeDocument/2006/relationships/oleObject" Target="embeddings/oleObject26.bin"/><Relationship Id="rId65" Type="http://schemas.openxmlformats.org/officeDocument/2006/relationships/image" Target="media/image31.wmf"/><Relationship Id="rId64" Type="http://schemas.openxmlformats.org/officeDocument/2006/relationships/oleObject" Target="embeddings/oleObject25.bin"/><Relationship Id="rId63" Type="http://schemas.openxmlformats.org/officeDocument/2006/relationships/image" Target="media/image30.wmf"/><Relationship Id="rId62" Type="http://schemas.openxmlformats.org/officeDocument/2006/relationships/oleObject" Target="embeddings/oleObject24.bin"/><Relationship Id="rId61" Type="http://schemas.openxmlformats.org/officeDocument/2006/relationships/image" Target="media/image29.wmf"/><Relationship Id="rId60" Type="http://schemas.openxmlformats.org/officeDocument/2006/relationships/oleObject" Target="embeddings/oleObject23.bin"/><Relationship Id="rId6" Type="http://schemas.openxmlformats.org/officeDocument/2006/relationships/footer" Target="footer3.xml"/><Relationship Id="rId59" Type="http://schemas.openxmlformats.org/officeDocument/2006/relationships/image" Target="media/image28.wmf"/><Relationship Id="rId58" Type="http://schemas.openxmlformats.org/officeDocument/2006/relationships/oleObject" Target="embeddings/oleObject22.bin"/><Relationship Id="rId57" Type="http://schemas.openxmlformats.org/officeDocument/2006/relationships/image" Target="media/image27.wmf"/><Relationship Id="rId56" Type="http://schemas.openxmlformats.org/officeDocument/2006/relationships/oleObject" Target="embeddings/oleObject21.bin"/><Relationship Id="rId55" Type="http://schemas.openxmlformats.org/officeDocument/2006/relationships/image" Target="media/image26.wmf"/><Relationship Id="rId54" Type="http://schemas.openxmlformats.org/officeDocument/2006/relationships/oleObject" Target="embeddings/oleObject20.bin"/><Relationship Id="rId53" Type="http://schemas.openxmlformats.org/officeDocument/2006/relationships/image" Target="media/image25.wmf"/><Relationship Id="rId52" Type="http://schemas.openxmlformats.org/officeDocument/2006/relationships/oleObject" Target="embeddings/oleObject19.bin"/><Relationship Id="rId51" Type="http://schemas.openxmlformats.org/officeDocument/2006/relationships/image" Target="media/image24.wmf"/><Relationship Id="rId50" Type="http://schemas.openxmlformats.org/officeDocument/2006/relationships/oleObject" Target="embeddings/oleObject18.bin"/><Relationship Id="rId5" Type="http://schemas.openxmlformats.org/officeDocument/2006/relationships/footer" Target="footer2.xml"/><Relationship Id="rId49" Type="http://schemas.openxmlformats.org/officeDocument/2006/relationships/image" Target="media/image23.wmf"/><Relationship Id="rId48" Type="http://schemas.openxmlformats.org/officeDocument/2006/relationships/oleObject" Target="embeddings/oleObject17.bin"/><Relationship Id="rId47" Type="http://schemas.openxmlformats.org/officeDocument/2006/relationships/image" Target="media/image22.wmf"/><Relationship Id="rId46" Type="http://schemas.openxmlformats.org/officeDocument/2006/relationships/oleObject" Target="embeddings/oleObject16.bin"/><Relationship Id="rId45" Type="http://schemas.openxmlformats.org/officeDocument/2006/relationships/image" Target="media/image21.wmf"/><Relationship Id="rId44" Type="http://schemas.openxmlformats.org/officeDocument/2006/relationships/oleObject" Target="embeddings/oleObject15.bin"/><Relationship Id="rId43" Type="http://schemas.openxmlformats.org/officeDocument/2006/relationships/image" Target="media/image20.wmf"/><Relationship Id="rId42" Type="http://schemas.openxmlformats.org/officeDocument/2006/relationships/oleObject" Target="embeddings/oleObject14.bin"/><Relationship Id="rId41" Type="http://schemas.openxmlformats.org/officeDocument/2006/relationships/image" Target="media/image19.wmf"/><Relationship Id="rId40" Type="http://schemas.openxmlformats.org/officeDocument/2006/relationships/oleObject" Target="embeddings/oleObject13.bin"/><Relationship Id="rId4" Type="http://schemas.openxmlformats.org/officeDocument/2006/relationships/footer" Target="footer1.xml"/><Relationship Id="rId39" Type="http://schemas.openxmlformats.org/officeDocument/2006/relationships/image" Target="media/image18.wmf"/><Relationship Id="rId38" Type="http://schemas.openxmlformats.org/officeDocument/2006/relationships/oleObject" Target="embeddings/oleObject12.bin"/><Relationship Id="rId37" Type="http://schemas.openxmlformats.org/officeDocument/2006/relationships/image" Target="media/image17.wmf"/><Relationship Id="rId36" Type="http://schemas.openxmlformats.org/officeDocument/2006/relationships/oleObject" Target="embeddings/oleObject11.bin"/><Relationship Id="rId35" Type="http://schemas.openxmlformats.org/officeDocument/2006/relationships/image" Target="media/image16.wmf"/><Relationship Id="rId34" Type="http://schemas.openxmlformats.org/officeDocument/2006/relationships/oleObject" Target="embeddings/oleObject10.bin"/><Relationship Id="rId33" Type="http://schemas.openxmlformats.org/officeDocument/2006/relationships/image" Target="media/image15.wmf"/><Relationship Id="rId32" Type="http://schemas.openxmlformats.org/officeDocument/2006/relationships/oleObject" Target="embeddings/oleObject9.bin"/><Relationship Id="rId31" Type="http://schemas.openxmlformats.org/officeDocument/2006/relationships/image" Target="media/image14.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oleObject" Target="embeddings/oleObject7.bin"/><Relationship Id="rId27" Type="http://schemas.openxmlformats.org/officeDocument/2006/relationships/image" Target="media/image12.wmf"/><Relationship Id="rId26" Type="http://schemas.openxmlformats.org/officeDocument/2006/relationships/oleObject" Target="embeddings/oleObject6.bin"/><Relationship Id="rId25" Type="http://schemas.openxmlformats.org/officeDocument/2006/relationships/image" Target="media/image11.wmf"/><Relationship Id="rId24" Type="http://schemas.openxmlformats.org/officeDocument/2006/relationships/oleObject" Target="embeddings/oleObject5.bin"/><Relationship Id="rId23" Type="http://schemas.openxmlformats.org/officeDocument/2006/relationships/image" Target="media/image10.wmf"/><Relationship Id="rId22" Type="http://schemas.openxmlformats.org/officeDocument/2006/relationships/oleObject" Target="embeddings/oleObject4.bin"/><Relationship Id="rId21" Type="http://schemas.openxmlformats.org/officeDocument/2006/relationships/image" Target="media/image9.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wmf"/><Relationship Id="rId17" Type="http://schemas.openxmlformats.org/officeDocument/2006/relationships/oleObject" Target="embeddings/oleObject2.bin"/><Relationship Id="rId16" Type="http://schemas.openxmlformats.org/officeDocument/2006/relationships/image" Target="media/image6.emf"/><Relationship Id="rId15" Type="http://schemas.openxmlformats.org/officeDocument/2006/relationships/oleObject" Target="embeddings/oleObject1.bin"/><Relationship Id="rId14" Type="http://schemas.openxmlformats.org/officeDocument/2006/relationships/image" Target="media/image5.jpeg"/><Relationship Id="rId139" Type="http://schemas.openxmlformats.org/officeDocument/2006/relationships/fontTable" Target="fontTable.xml"/><Relationship Id="rId138" Type="http://schemas.openxmlformats.org/officeDocument/2006/relationships/customXml" Target="../customXml/item2.xml"/><Relationship Id="rId137" Type="http://schemas.openxmlformats.org/officeDocument/2006/relationships/numbering" Target="numbering.xml"/><Relationship Id="rId136" Type="http://schemas.openxmlformats.org/officeDocument/2006/relationships/customXml" Target="../customXml/item1.xml"/><Relationship Id="rId135" Type="http://schemas.openxmlformats.org/officeDocument/2006/relationships/image" Target="media/image69.png"/><Relationship Id="rId134" Type="http://schemas.openxmlformats.org/officeDocument/2006/relationships/image" Target="media/image68.png"/><Relationship Id="rId133" Type="http://schemas.openxmlformats.org/officeDocument/2006/relationships/image" Target="media/image67.png"/><Relationship Id="rId132" Type="http://schemas.openxmlformats.org/officeDocument/2006/relationships/image" Target="media/image66.jpeg"/><Relationship Id="rId131" Type="http://schemas.openxmlformats.org/officeDocument/2006/relationships/image" Target="media/image65.wmf"/><Relationship Id="rId130" Type="http://schemas.openxmlformats.org/officeDocument/2006/relationships/oleObject" Target="embeddings/oleObject57.bin"/><Relationship Id="rId13" Type="http://schemas.openxmlformats.org/officeDocument/2006/relationships/image" Target="media/image4.jpeg"/><Relationship Id="rId129" Type="http://schemas.openxmlformats.org/officeDocument/2006/relationships/image" Target="media/image64.wmf"/><Relationship Id="rId128" Type="http://schemas.openxmlformats.org/officeDocument/2006/relationships/oleObject" Target="embeddings/oleObject56.bin"/><Relationship Id="rId127" Type="http://schemas.openxmlformats.org/officeDocument/2006/relationships/image" Target="media/image63.wmf"/><Relationship Id="rId126" Type="http://schemas.openxmlformats.org/officeDocument/2006/relationships/oleObject" Target="embeddings/oleObject55.bin"/><Relationship Id="rId125" Type="http://schemas.openxmlformats.org/officeDocument/2006/relationships/image" Target="media/image62.wmf"/><Relationship Id="rId124" Type="http://schemas.openxmlformats.org/officeDocument/2006/relationships/oleObject" Target="embeddings/oleObject54.bin"/><Relationship Id="rId123" Type="http://schemas.openxmlformats.org/officeDocument/2006/relationships/image" Target="media/image61.wmf"/><Relationship Id="rId122" Type="http://schemas.openxmlformats.org/officeDocument/2006/relationships/oleObject" Target="embeddings/oleObject53.bin"/><Relationship Id="rId121" Type="http://schemas.openxmlformats.org/officeDocument/2006/relationships/image" Target="media/image60.wmf"/><Relationship Id="rId120" Type="http://schemas.openxmlformats.org/officeDocument/2006/relationships/oleObject" Target="embeddings/oleObject52.bin"/><Relationship Id="rId12" Type="http://schemas.openxmlformats.org/officeDocument/2006/relationships/image" Target="media/image3.jpeg"/><Relationship Id="rId119" Type="http://schemas.openxmlformats.org/officeDocument/2006/relationships/image" Target="media/image59.wmf"/><Relationship Id="rId118" Type="http://schemas.openxmlformats.org/officeDocument/2006/relationships/oleObject" Target="embeddings/oleObject51.bin"/><Relationship Id="rId117" Type="http://schemas.openxmlformats.org/officeDocument/2006/relationships/image" Target="media/image58.wmf"/><Relationship Id="rId116" Type="http://schemas.openxmlformats.org/officeDocument/2006/relationships/oleObject" Target="embeddings/oleObject50.bin"/><Relationship Id="rId115" Type="http://schemas.openxmlformats.org/officeDocument/2006/relationships/image" Target="media/image57.wmf"/><Relationship Id="rId114" Type="http://schemas.openxmlformats.org/officeDocument/2006/relationships/oleObject" Target="embeddings/oleObject49.bin"/><Relationship Id="rId113" Type="http://schemas.openxmlformats.org/officeDocument/2006/relationships/image" Target="media/image56.wmf"/><Relationship Id="rId112" Type="http://schemas.openxmlformats.org/officeDocument/2006/relationships/oleObject" Target="embeddings/oleObject48.bin"/><Relationship Id="rId111" Type="http://schemas.openxmlformats.org/officeDocument/2006/relationships/image" Target="media/image55.wmf"/><Relationship Id="rId110" Type="http://schemas.openxmlformats.org/officeDocument/2006/relationships/oleObject" Target="embeddings/oleObject47.bin"/><Relationship Id="rId11" Type="http://schemas.openxmlformats.org/officeDocument/2006/relationships/image" Target="media/image2.jpeg"/><Relationship Id="rId109" Type="http://schemas.openxmlformats.org/officeDocument/2006/relationships/image" Target="media/image54.wmf"/><Relationship Id="rId108" Type="http://schemas.openxmlformats.org/officeDocument/2006/relationships/oleObject" Target="embeddings/oleObject46.bin"/><Relationship Id="rId107" Type="http://schemas.openxmlformats.org/officeDocument/2006/relationships/image" Target="media/image53.wmf"/><Relationship Id="rId106" Type="http://schemas.openxmlformats.org/officeDocument/2006/relationships/oleObject" Target="embeddings/oleObject45.bin"/><Relationship Id="rId105" Type="http://schemas.openxmlformats.org/officeDocument/2006/relationships/image" Target="media/image52.wmf"/><Relationship Id="rId104" Type="http://schemas.openxmlformats.org/officeDocument/2006/relationships/oleObject" Target="embeddings/oleObject44.bin"/><Relationship Id="rId103" Type="http://schemas.openxmlformats.org/officeDocument/2006/relationships/image" Target="media/image51.wmf"/><Relationship Id="rId102" Type="http://schemas.openxmlformats.org/officeDocument/2006/relationships/oleObject" Target="embeddings/oleObject43.bin"/><Relationship Id="rId101" Type="http://schemas.openxmlformats.org/officeDocument/2006/relationships/image" Target="media/image50.wmf"/><Relationship Id="rId100" Type="http://schemas.openxmlformats.org/officeDocument/2006/relationships/oleObject" Target="embeddings/oleObject42.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34"/>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0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FE788E-0E3E-405F-A431-64CC58608329}">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63</Pages>
  <Words>6590</Words>
  <Characters>37566</Characters>
  <Lines>313</Lines>
  <Paragraphs>88</Paragraphs>
  <TotalTime>2</TotalTime>
  <ScaleCrop>false</ScaleCrop>
  <LinksUpToDate>false</LinksUpToDate>
  <CharactersWithSpaces>44068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2020-01-06T08:37:00Z</dcterms:created>
  <dc:creator>Administrator</dc:creator>
  <cp:lastModifiedBy>玛丽玛丽猪</cp:lastModifiedBy>
  <cp:lastPrinted>2020-12-10T03:01:00Z</cp:lastPrinted>
  <dcterms:modified xsi:type="dcterms:W3CDTF">2021-03-04T00:36:29Z</dcterms:modified>
  <cp:revision>871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